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EC" w:rsidRDefault="004D59FC" w:rsidP="003C5CEC">
      <w:pPr>
        <w:pStyle w:val="Intestazione"/>
        <w:tabs>
          <w:tab w:val="clear" w:pos="9638"/>
          <w:tab w:val="left" w:pos="1793"/>
          <w:tab w:val="left" w:pos="11805"/>
        </w:tabs>
        <w:rPr>
          <w:rFonts w:ascii="Verdana" w:hAnsi="Verdana"/>
          <w:b/>
          <w:color w:val="FF0000"/>
          <w:sz w:val="72"/>
          <w:szCs w:val="72"/>
        </w:rPr>
      </w:pPr>
      <w:r>
        <w:rPr>
          <w:rFonts w:ascii="Verdana" w:hAnsi="Verdana"/>
          <w:b/>
          <w:noProof/>
          <w:color w:val="FF0000"/>
          <w:sz w:val="72"/>
          <w:szCs w:val="7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-368935</wp:posOffset>
            </wp:positionV>
            <wp:extent cx="1093470" cy="1447165"/>
            <wp:effectExtent l="19050" t="0" r="0" b="0"/>
            <wp:wrapSquare wrapText="bothSides"/>
            <wp:docPr id="4" name="Immagine 2" descr="File:Casavatore-Stemm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Casavatore-Stemm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FF0000"/>
          <w:sz w:val="72"/>
          <w:szCs w:val="7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7472045</wp:posOffset>
            </wp:positionH>
            <wp:positionV relativeFrom="paragraph">
              <wp:posOffset>-196215</wp:posOffset>
            </wp:positionV>
            <wp:extent cx="1774825" cy="767715"/>
            <wp:effectExtent l="19050" t="0" r="0" b="0"/>
            <wp:wrapSquare wrapText="bothSides"/>
            <wp:docPr id="2" name="Immagine 2" descr="pub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 tif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CEC">
        <w:rPr>
          <w:rFonts w:ascii="Verdana" w:hAnsi="Verdana"/>
          <w:b/>
          <w:color w:val="FF0000"/>
          <w:sz w:val="72"/>
          <w:szCs w:val="72"/>
        </w:rPr>
        <w:t xml:space="preserve">      </w:t>
      </w:r>
      <w:r w:rsidR="003C5CEC">
        <w:rPr>
          <w:rFonts w:ascii="Verdana" w:hAnsi="Verdana"/>
          <w:b/>
          <w:color w:val="FF0000"/>
          <w:sz w:val="72"/>
          <w:szCs w:val="72"/>
        </w:rPr>
        <w:tab/>
        <w:t xml:space="preserve">   </w:t>
      </w:r>
      <w:r w:rsidR="003C5CEC" w:rsidRPr="004D59FC">
        <w:rPr>
          <w:rFonts w:ascii="Verdana" w:hAnsi="Verdana"/>
          <w:b/>
          <w:sz w:val="72"/>
          <w:szCs w:val="72"/>
        </w:rPr>
        <w:t xml:space="preserve">       </w:t>
      </w:r>
      <w:r w:rsidR="003C5CEC" w:rsidRPr="004D59FC">
        <w:rPr>
          <w:rFonts w:ascii="Verdana" w:hAnsi="Verdana"/>
          <w:b/>
          <w:noProof/>
          <w:color w:val="FF0000"/>
          <w:sz w:val="72"/>
          <w:szCs w:val="72"/>
          <w:lang w:eastAsia="it-IT"/>
        </w:rPr>
        <w:t xml:space="preserve">                     </w:t>
      </w:r>
    </w:p>
    <w:p w:rsidR="00B47C37" w:rsidRPr="009420C2" w:rsidRDefault="004D59FC" w:rsidP="004D59FC">
      <w:pPr>
        <w:pStyle w:val="Intestazione"/>
        <w:jc w:val="center"/>
        <w:rPr>
          <w:rFonts w:ascii="Verdana" w:hAnsi="Verdana"/>
          <w:b/>
          <w:color w:val="000000" w:themeColor="text1"/>
          <w:sz w:val="56"/>
          <w:szCs w:val="56"/>
        </w:rPr>
      </w:pPr>
      <w:r>
        <w:rPr>
          <w:rFonts w:ascii="Verdana" w:hAnsi="Verdana"/>
          <w:b/>
          <w:color w:val="000000" w:themeColor="text1"/>
          <w:sz w:val="56"/>
          <w:szCs w:val="56"/>
        </w:rPr>
        <w:t xml:space="preserve">     </w:t>
      </w:r>
      <w:r w:rsidR="00B47C37" w:rsidRPr="009420C2">
        <w:rPr>
          <w:rFonts w:ascii="Verdana" w:hAnsi="Verdana"/>
          <w:b/>
          <w:color w:val="000000" w:themeColor="text1"/>
          <w:sz w:val="56"/>
          <w:szCs w:val="56"/>
        </w:rPr>
        <w:t xml:space="preserve">COMUNE </w:t>
      </w:r>
      <w:proofErr w:type="spellStart"/>
      <w:r w:rsidR="00B47C37" w:rsidRPr="009420C2">
        <w:rPr>
          <w:rFonts w:ascii="Verdana" w:hAnsi="Verdana"/>
          <w:b/>
          <w:color w:val="000000" w:themeColor="text1"/>
          <w:sz w:val="56"/>
          <w:szCs w:val="56"/>
        </w:rPr>
        <w:t>DI</w:t>
      </w:r>
      <w:proofErr w:type="spellEnd"/>
      <w:r w:rsidR="00B47C37" w:rsidRPr="009420C2">
        <w:rPr>
          <w:rFonts w:ascii="Verdana" w:hAnsi="Verdana"/>
          <w:b/>
          <w:color w:val="000000" w:themeColor="text1"/>
          <w:sz w:val="56"/>
          <w:szCs w:val="56"/>
        </w:rPr>
        <w:t xml:space="preserve"> </w:t>
      </w:r>
      <w:r w:rsidR="008809E7" w:rsidRPr="009420C2">
        <w:rPr>
          <w:rFonts w:ascii="Verdana" w:hAnsi="Verdana"/>
          <w:b/>
          <w:color w:val="000000" w:themeColor="text1"/>
          <w:sz w:val="56"/>
          <w:szCs w:val="56"/>
        </w:rPr>
        <w:t>CASAVATORE</w:t>
      </w:r>
    </w:p>
    <w:p w:rsidR="00B47C37" w:rsidRPr="004D59FC" w:rsidRDefault="004D59FC" w:rsidP="004D59FC">
      <w:pPr>
        <w:pStyle w:val="Intestazione"/>
        <w:tabs>
          <w:tab w:val="clear" w:pos="4819"/>
          <w:tab w:val="clear" w:pos="9638"/>
          <w:tab w:val="center" w:pos="4395"/>
          <w:tab w:val="right" w:pos="8647"/>
        </w:tabs>
        <w:ind w:right="2925"/>
        <w:jc w:val="center"/>
        <w:rPr>
          <w:rFonts w:ascii="Verdana" w:hAnsi="Verdana"/>
          <w:b/>
          <w:color w:val="000000" w:themeColor="text1"/>
          <w:sz w:val="44"/>
          <w:szCs w:val="44"/>
        </w:rPr>
      </w:pPr>
      <w:r>
        <w:rPr>
          <w:rFonts w:ascii="Verdana" w:hAnsi="Verdana"/>
          <w:b/>
          <w:color w:val="000000" w:themeColor="text1"/>
          <w:sz w:val="44"/>
          <w:szCs w:val="44"/>
        </w:rPr>
        <w:t xml:space="preserve"> </w:t>
      </w:r>
      <w:r w:rsidR="00B47C37" w:rsidRPr="005C454B">
        <w:rPr>
          <w:rFonts w:ascii="Verdana" w:hAnsi="Verdana"/>
          <w:b/>
          <w:color w:val="000000" w:themeColor="text1"/>
          <w:sz w:val="44"/>
          <w:szCs w:val="44"/>
        </w:rPr>
        <w:t xml:space="preserve">Provincia di </w:t>
      </w:r>
      <w:r w:rsidR="008809E7">
        <w:rPr>
          <w:rFonts w:ascii="Verdana" w:hAnsi="Verdana"/>
          <w:b/>
          <w:color w:val="000000" w:themeColor="text1"/>
          <w:sz w:val="44"/>
          <w:szCs w:val="44"/>
        </w:rPr>
        <w:t>Napoli</w:t>
      </w:r>
    </w:p>
    <w:p w:rsidR="004D59FC" w:rsidRDefault="004D59FC" w:rsidP="004D59FC">
      <w:pPr>
        <w:pStyle w:val="Intestazione"/>
        <w:rPr>
          <w:rFonts w:ascii="Verdana" w:hAnsi="Verdana"/>
          <w:b/>
          <w:color w:val="000000" w:themeColor="text1"/>
          <w:sz w:val="30"/>
          <w:szCs w:val="30"/>
        </w:rPr>
      </w:pPr>
      <w:r>
        <w:rPr>
          <w:rFonts w:ascii="Verdana" w:hAnsi="Verdana"/>
          <w:b/>
          <w:color w:val="000000" w:themeColor="text1"/>
          <w:sz w:val="30"/>
          <w:szCs w:val="30"/>
        </w:rPr>
        <w:t xml:space="preserve">                                                  </w:t>
      </w:r>
    </w:p>
    <w:p w:rsidR="000F2E76" w:rsidRPr="004D59FC" w:rsidRDefault="00EA3342" w:rsidP="004D59FC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000000" w:themeColor="text1"/>
          <w:sz w:val="40"/>
          <w:szCs w:val="28"/>
        </w:rPr>
      </w:pPr>
      <w:r w:rsidRPr="004D59FC">
        <w:rPr>
          <w:rFonts w:ascii="Verdana" w:hAnsi="Verdana"/>
          <w:b/>
          <w:color w:val="000000" w:themeColor="text1"/>
          <w:sz w:val="40"/>
          <w:szCs w:val="30"/>
        </w:rPr>
        <w:t>IMPOSTA UNICA COMUNALE</w:t>
      </w:r>
      <w:r w:rsidR="004D59FC">
        <w:rPr>
          <w:rFonts w:ascii="Verdana" w:hAnsi="Verdana"/>
          <w:b/>
          <w:color w:val="000000" w:themeColor="text1"/>
          <w:sz w:val="40"/>
          <w:szCs w:val="30"/>
        </w:rPr>
        <w:t xml:space="preserve"> (</w:t>
      </w:r>
      <w:proofErr w:type="spellStart"/>
      <w:r w:rsidR="004D59FC">
        <w:rPr>
          <w:rFonts w:ascii="Verdana" w:hAnsi="Verdana"/>
          <w:b/>
          <w:color w:val="000000" w:themeColor="text1"/>
          <w:sz w:val="40"/>
          <w:szCs w:val="30"/>
        </w:rPr>
        <w:t>I.U.C.</w:t>
      </w:r>
      <w:proofErr w:type="spellEnd"/>
      <w:r w:rsidR="004D59FC">
        <w:rPr>
          <w:rFonts w:ascii="Verdana" w:hAnsi="Verdana"/>
          <w:b/>
          <w:color w:val="000000" w:themeColor="text1"/>
          <w:sz w:val="40"/>
          <w:szCs w:val="30"/>
        </w:rPr>
        <w:t>) 2014</w:t>
      </w:r>
    </w:p>
    <w:p w:rsidR="000F2E76" w:rsidRDefault="000F2E76" w:rsidP="003C5CEC">
      <w:pPr>
        <w:spacing w:after="0" w:line="120" w:lineRule="auto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D85554" w:rsidRPr="00C465D4" w:rsidRDefault="00D85554" w:rsidP="000F2E76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C465D4">
        <w:rPr>
          <w:rFonts w:ascii="Verdana" w:hAnsi="Verdana"/>
          <w:sz w:val="14"/>
          <w:szCs w:val="14"/>
        </w:rPr>
        <w:t>Dal 1° gennaio 2014 è in vigore l’imposta unica comunale (</w:t>
      </w:r>
      <w:r w:rsidRPr="00C465D4">
        <w:rPr>
          <w:rFonts w:ascii="Verdana" w:hAnsi="Verdana"/>
          <w:b/>
          <w:sz w:val="14"/>
          <w:szCs w:val="14"/>
        </w:rPr>
        <w:t>IUC</w:t>
      </w:r>
      <w:r w:rsidRPr="00C465D4">
        <w:rPr>
          <w:rFonts w:ascii="Verdana" w:hAnsi="Verdana"/>
          <w:sz w:val="14"/>
          <w:szCs w:val="14"/>
        </w:rPr>
        <w:t>)</w:t>
      </w:r>
      <w:r w:rsidR="00EA3342">
        <w:rPr>
          <w:rFonts w:ascii="Verdana" w:hAnsi="Verdana"/>
          <w:sz w:val="14"/>
          <w:szCs w:val="14"/>
        </w:rPr>
        <w:t xml:space="preserve">, </w:t>
      </w:r>
      <w:r w:rsidRPr="00C465D4">
        <w:rPr>
          <w:rFonts w:ascii="Verdana" w:hAnsi="Verdana"/>
          <w:sz w:val="14"/>
          <w:szCs w:val="14"/>
        </w:rPr>
        <w:t>che si compone dell’imposta municipale propria (</w:t>
      </w:r>
      <w:r w:rsidRPr="00C465D4">
        <w:rPr>
          <w:rFonts w:ascii="Verdana" w:hAnsi="Verdana"/>
          <w:b/>
          <w:sz w:val="14"/>
          <w:szCs w:val="14"/>
        </w:rPr>
        <w:t>IMU</w:t>
      </w:r>
      <w:r w:rsidRPr="00C465D4">
        <w:rPr>
          <w:rFonts w:ascii="Verdana" w:hAnsi="Verdana"/>
          <w:sz w:val="14"/>
          <w:szCs w:val="14"/>
        </w:rPr>
        <w:t>), di natura patrimoniale, dovuta dal possessore di immobili, escluse le abitazioni principali, e di una componente riferita ai servizi, che si articola nel tributo per i servizi indivisibili (</w:t>
      </w:r>
      <w:r w:rsidRPr="00C465D4">
        <w:rPr>
          <w:rFonts w:ascii="Verdana" w:hAnsi="Verdana"/>
          <w:b/>
          <w:sz w:val="14"/>
          <w:szCs w:val="14"/>
        </w:rPr>
        <w:t>TASI</w:t>
      </w:r>
      <w:r w:rsidRPr="00C465D4">
        <w:rPr>
          <w:rFonts w:ascii="Verdana" w:hAnsi="Verdana"/>
          <w:sz w:val="14"/>
          <w:szCs w:val="14"/>
        </w:rPr>
        <w:t>), a carico sia del possessore che dell’utilizzatore dell’immobile, e nella tassa sui rifiuti (</w:t>
      </w:r>
      <w:r w:rsidRPr="00C465D4">
        <w:rPr>
          <w:rFonts w:ascii="Verdana" w:hAnsi="Verdana"/>
          <w:b/>
          <w:sz w:val="14"/>
          <w:szCs w:val="14"/>
        </w:rPr>
        <w:t>TARI</w:t>
      </w:r>
      <w:r w:rsidRPr="00C465D4">
        <w:rPr>
          <w:rFonts w:ascii="Verdana" w:hAnsi="Verdana"/>
          <w:sz w:val="14"/>
          <w:szCs w:val="14"/>
        </w:rPr>
        <w:t>), destinata a finanziare i costi del servizio di raccolta e smaltimento dei rifiuti, a carico dell’utilizzatore.</w:t>
      </w:r>
      <w:r w:rsidR="004D59FC">
        <w:rPr>
          <w:rFonts w:ascii="Verdana" w:hAnsi="Verdana"/>
          <w:sz w:val="14"/>
          <w:szCs w:val="14"/>
        </w:rPr>
        <w:t xml:space="preserve"> </w:t>
      </w:r>
    </w:p>
    <w:p w:rsidR="00D85554" w:rsidRPr="00C465D4" w:rsidRDefault="00D85554" w:rsidP="000F2E76">
      <w:pPr>
        <w:spacing w:after="60" w:line="240" w:lineRule="auto"/>
        <w:jc w:val="both"/>
        <w:rPr>
          <w:rFonts w:ascii="Verdana" w:hAnsi="Verdana"/>
          <w:sz w:val="14"/>
          <w:szCs w:val="14"/>
        </w:rPr>
      </w:pPr>
      <w:r w:rsidRPr="00C465D4">
        <w:rPr>
          <w:rFonts w:ascii="Verdana" w:hAnsi="Verdana"/>
          <w:sz w:val="14"/>
          <w:szCs w:val="14"/>
        </w:rPr>
        <w:t>La disciplina della IUC è contenuta nella legge n. 147</w:t>
      </w:r>
      <w:r w:rsidR="00322F3C">
        <w:rPr>
          <w:rFonts w:ascii="Verdana" w:hAnsi="Verdana"/>
          <w:sz w:val="14"/>
          <w:szCs w:val="14"/>
        </w:rPr>
        <w:t>/2013</w:t>
      </w:r>
      <w:r w:rsidRPr="00C465D4">
        <w:rPr>
          <w:rFonts w:ascii="Verdana" w:hAnsi="Verdana"/>
          <w:sz w:val="14"/>
          <w:szCs w:val="14"/>
        </w:rPr>
        <w:t xml:space="preserve"> (Legge di Stabilità per l’anno 2014) e</w:t>
      </w:r>
      <w:r>
        <w:rPr>
          <w:rFonts w:ascii="Verdana" w:hAnsi="Verdana"/>
          <w:sz w:val="14"/>
          <w:szCs w:val="14"/>
        </w:rPr>
        <w:t>d è integrata da</w:t>
      </w:r>
      <w:r w:rsidR="00EA3342">
        <w:rPr>
          <w:rFonts w:ascii="Verdana" w:hAnsi="Verdana"/>
          <w:sz w:val="14"/>
          <w:szCs w:val="14"/>
        </w:rPr>
        <w:t xml:space="preserve">llo specifico </w:t>
      </w:r>
      <w:r>
        <w:rPr>
          <w:rFonts w:ascii="Verdana" w:hAnsi="Verdana"/>
          <w:sz w:val="14"/>
          <w:szCs w:val="14"/>
        </w:rPr>
        <w:t>Regolament</w:t>
      </w:r>
      <w:r w:rsidR="00EA3342">
        <w:rPr>
          <w:rFonts w:ascii="Verdana" w:hAnsi="Verdana"/>
          <w:sz w:val="14"/>
          <w:szCs w:val="14"/>
        </w:rPr>
        <w:t>o</w:t>
      </w:r>
      <w:r>
        <w:rPr>
          <w:rFonts w:ascii="Verdana" w:hAnsi="Verdana"/>
          <w:sz w:val="14"/>
          <w:szCs w:val="14"/>
        </w:rPr>
        <w:t>,</w:t>
      </w:r>
      <w:r w:rsidR="00EA3342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che sar</w:t>
      </w:r>
      <w:r w:rsidR="00EA3342">
        <w:rPr>
          <w:rFonts w:ascii="Verdana" w:hAnsi="Verdana"/>
          <w:sz w:val="14"/>
          <w:szCs w:val="14"/>
        </w:rPr>
        <w:t>à</w:t>
      </w:r>
      <w:r>
        <w:rPr>
          <w:rFonts w:ascii="Verdana" w:hAnsi="Verdana"/>
          <w:sz w:val="14"/>
          <w:szCs w:val="14"/>
        </w:rPr>
        <w:t xml:space="preserve"> approvat</w:t>
      </w:r>
      <w:r w:rsidR="00EA3342">
        <w:rPr>
          <w:rFonts w:ascii="Verdana" w:hAnsi="Verdana"/>
          <w:sz w:val="14"/>
          <w:szCs w:val="14"/>
        </w:rPr>
        <w:t>o</w:t>
      </w:r>
      <w:r>
        <w:rPr>
          <w:rFonts w:ascii="Verdana" w:hAnsi="Verdana"/>
          <w:sz w:val="14"/>
          <w:szCs w:val="14"/>
        </w:rPr>
        <w:t xml:space="preserve"> </w:t>
      </w:r>
      <w:r w:rsidRPr="00C465D4">
        <w:rPr>
          <w:rFonts w:ascii="Verdana" w:hAnsi="Verdana"/>
          <w:bCs/>
          <w:sz w:val="14"/>
          <w:szCs w:val="14"/>
        </w:rPr>
        <w:t>entro il termine di approvazione del Bilancio 2014</w:t>
      </w:r>
      <w:r w:rsidRPr="00C465D4">
        <w:rPr>
          <w:rFonts w:ascii="Verdana" w:hAnsi="Verdana"/>
          <w:sz w:val="14"/>
          <w:szCs w:val="14"/>
        </w:rPr>
        <w:t xml:space="preserve">. </w:t>
      </w:r>
    </w:p>
    <w:p w:rsidR="00D85554" w:rsidRPr="00EB66C4" w:rsidRDefault="00D85554" w:rsidP="00D85554">
      <w:pPr>
        <w:spacing w:line="240" w:lineRule="auto"/>
        <w:jc w:val="both"/>
        <w:rPr>
          <w:rStyle w:val="Collegamentoipertestuale"/>
        </w:rPr>
      </w:pPr>
      <w:r w:rsidRPr="00D85554">
        <w:rPr>
          <w:rFonts w:ascii="Verdana" w:hAnsi="Verdana"/>
          <w:color w:val="000000" w:themeColor="text1"/>
          <w:sz w:val="14"/>
          <w:szCs w:val="14"/>
        </w:rPr>
        <w:t>Il Regolamento, le Tariffe ed Aliquote delle componenti della IUC,</w:t>
      </w:r>
      <w:r w:rsidR="00EA3342">
        <w:rPr>
          <w:rFonts w:ascii="Verdana" w:hAnsi="Verdana"/>
          <w:color w:val="000000" w:themeColor="text1"/>
          <w:sz w:val="14"/>
          <w:szCs w:val="14"/>
        </w:rPr>
        <w:t xml:space="preserve"> </w:t>
      </w:r>
      <w:r w:rsidRPr="00D85554">
        <w:rPr>
          <w:rFonts w:ascii="Verdana" w:hAnsi="Verdana"/>
          <w:color w:val="000000" w:themeColor="text1"/>
          <w:sz w:val="14"/>
          <w:szCs w:val="14"/>
        </w:rPr>
        <w:t xml:space="preserve">dopo l’approvazione, </w:t>
      </w:r>
      <w:r w:rsidR="00EB66C4">
        <w:rPr>
          <w:rFonts w:ascii="Verdana" w:hAnsi="Verdana"/>
          <w:color w:val="000000" w:themeColor="text1"/>
          <w:sz w:val="14"/>
          <w:szCs w:val="14"/>
        </w:rPr>
        <w:t>s</w:t>
      </w:r>
      <w:r w:rsidRPr="00D85554">
        <w:rPr>
          <w:rFonts w:ascii="Verdana" w:hAnsi="Verdana"/>
          <w:color w:val="000000" w:themeColor="text1"/>
          <w:sz w:val="14"/>
          <w:szCs w:val="14"/>
        </w:rPr>
        <w:t xml:space="preserve">aranno pubblicati sul sito </w:t>
      </w:r>
      <w:r w:rsidR="00EB66C4">
        <w:rPr>
          <w:rFonts w:ascii="Verdana" w:hAnsi="Verdana"/>
          <w:color w:val="000000" w:themeColor="text1"/>
          <w:sz w:val="14"/>
          <w:szCs w:val="14"/>
        </w:rPr>
        <w:t xml:space="preserve">informatico del Ministero delle finanze e sui siti </w:t>
      </w:r>
      <w:r w:rsidR="008809E7" w:rsidRPr="008809E7">
        <w:rPr>
          <w:rStyle w:val="Collegamentoipertestuale"/>
          <w:rFonts w:ascii="Verdana" w:hAnsi="Verdana"/>
          <w:sz w:val="14"/>
          <w:szCs w:val="14"/>
        </w:rPr>
        <w:t>www.comune.casavatore.na.it</w:t>
      </w:r>
      <w:r w:rsidRPr="00EB66C4">
        <w:rPr>
          <w:rFonts w:ascii="Verdana" w:hAnsi="Verdana"/>
          <w:color w:val="000000" w:themeColor="text1"/>
          <w:sz w:val="14"/>
          <w:szCs w:val="14"/>
        </w:rPr>
        <w:t xml:space="preserve">  e sul sito </w:t>
      </w:r>
      <w:hyperlink r:id="rId10" w:history="1">
        <w:r w:rsidR="00EB66C4" w:rsidRPr="00EB66C4">
          <w:rPr>
            <w:rStyle w:val="Collegamentoipertestuale"/>
            <w:rFonts w:ascii="Verdana" w:hAnsi="Verdana"/>
            <w:sz w:val="14"/>
            <w:szCs w:val="14"/>
          </w:rPr>
          <w:t>www.pubblialifana.it</w:t>
        </w:r>
      </w:hyperlink>
    </w:p>
    <w:tbl>
      <w:tblPr>
        <w:tblW w:w="0" w:type="auto"/>
        <w:jc w:val="center"/>
        <w:tblInd w:w="-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58"/>
      </w:tblGrid>
      <w:tr w:rsidR="00C71E06" w:rsidRPr="0015492C" w:rsidTr="00FF2391">
        <w:trPr>
          <w:trHeight w:val="691"/>
          <w:jc w:val="center"/>
        </w:trPr>
        <w:tc>
          <w:tcPr>
            <w:tcW w:w="15458" w:type="dxa"/>
            <w:shd w:val="pct12" w:color="auto" w:fill="auto"/>
            <w:vAlign w:val="center"/>
          </w:tcPr>
          <w:p w:rsidR="00C71E06" w:rsidRPr="00FF2391" w:rsidRDefault="00FF2391" w:rsidP="00FF2391">
            <w:pPr>
              <w:spacing w:after="0" w:line="240" w:lineRule="auto"/>
              <w:jc w:val="center"/>
              <w:rPr>
                <w:rFonts w:ascii="Verdana" w:hAnsi="Verdana"/>
                <w:b/>
                <w:color w:val="FF0000"/>
                <w:sz w:val="52"/>
                <w:szCs w:val="28"/>
              </w:rPr>
            </w:pPr>
            <w:r w:rsidRPr="00FF2391">
              <w:rPr>
                <w:rFonts w:ascii="Verdana" w:hAnsi="Verdana"/>
                <w:b/>
                <w:color w:val="FF0000"/>
                <w:sz w:val="52"/>
                <w:szCs w:val="28"/>
              </w:rPr>
              <w:t>IMU</w:t>
            </w:r>
          </w:p>
        </w:tc>
      </w:tr>
      <w:tr w:rsidR="00C71E06" w:rsidRPr="0015492C" w:rsidTr="00C71E06">
        <w:trPr>
          <w:trHeight w:val="2318"/>
          <w:jc w:val="center"/>
        </w:trPr>
        <w:tc>
          <w:tcPr>
            <w:tcW w:w="15458" w:type="dxa"/>
          </w:tcPr>
          <w:p w:rsidR="00C71E06" w:rsidRDefault="00C71E06" w:rsidP="00BD7611">
            <w:pPr>
              <w:spacing w:after="0" w:line="240" w:lineRule="auto"/>
              <w:jc w:val="both"/>
              <w:rPr>
                <w:rFonts w:ascii="Verdana" w:hAnsi="Verdana"/>
                <w:iCs/>
                <w:sz w:val="14"/>
                <w:szCs w:val="14"/>
                <w:lang w:eastAsia="it-IT"/>
              </w:rPr>
            </w:pPr>
            <w:r w:rsidRPr="00C465D4">
              <w:rPr>
                <w:rFonts w:ascii="Verdana" w:hAnsi="Verdana"/>
                <w:sz w:val="14"/>
                <w:szCs w:val="14"/>
              </w:rPr>
              <w:t>Ai fini IMU resta salva la disciplina di cui al</w:t>
            </w:r>
            <w:r w:rsidRPr="00C465D4">
              <w:rPr>
                <w:rFonts w:ascii="Verdana" w:eastAsia="MS Mincho" w:hAnsi="Verdana"/>
                <w:sz w:val="14"/>
                <w:szCs w:val="14"/>
              </w:rPr>
              <w:t>l’art. 1, comma 13, del Decreto-legge 6 dicembre 2011 n. 201, convertito</w:t>
            </w:r>
            <w:r w:rsidRPr="00C465D4">
              <w:rPr>
                <w:rFonts w:ascii="Verdana" w:hAnsi="Verdana"/>
                <w:sz w:val="14"/>
                <w:szCs w:val="14"/>
              </w:rPr>
              <w:t xml:space="preserve">, con modificazioni, dalla legge 22 dicembre 2011 n. 214, </w:t>
            </w:r>
            <w:r w:rsidRPr="00C465D4">
              <w:rPr>
                <w:rFonts w:ascii="Verdana" w:eastAsia="MS Mincho" w:hAnsi="Verdana"/>
                <w:sz w:val="14"/>
                <w:szCs w:val="14"/>
              </w:rPr>
              <w:t xml:space="preserve">all’art. 2, comma 2, del Decreto-legge 31 agosto 2013, n. 102, </w:t>
            </w:r>
            <w:r w:rsidRPr="00C465D4">
              <w:rPr>
                <w:rFonts w:ascii="Verdana" w:hAnsi="Verdana"/>
                <w:iCs/>
                <w:sz w:val="14"/>
                <w:szCs w:val="14"/>
                <w:lang w:eastAsia="it-IT"/>
              </w:rPr>
              <w:t>convertito, con modificazioni, dalla legge 28 ottobre 2013 n. 124</w:t>
            </w:r>
            <w:r>
              <w:rPr>
                <w:rFonts w:ascii="Verdana" w:hAnsi="Verdana"/>
                <w:iCs/>
                <w:sz w:val="14"/>
                <w:szCs w:val="14"/>
                <w:lang w:eastAsia="it-IT"/>
              </w:rPr>
              <w:t>.</w:t>
            </w:r>
          </w:p>
          <w:p w:rsidR="00C71E06" w:rsidRDefault="00C71E06" w:rsidP="00BD7611">
            <w:pPr>
              <w:spacing w:after="0" w:line="240" w:lineRule="auto"/>
              <w:jc w:val="both"/>
              <w:rPr>
                <w:rFonts w:ascii="Verdana" w:hAnsi="Verdana"/>
                <w:iCs/>
                <w:sz w:val="14"/>
                <w:szCs w:val="14"/>
                <w:lang w:eastAsia="it-IT"/>
              </w:rPr>
            </w:pPr>
            <w:r w:rsidRPr="00B65DDA">
              <w:rPr>
                <w:rFonts w:ascii="Verdana" w:hAnsi="Verdana"/>
                <w:b/>
                <w:color w:val="FF0000"/>
                <w:sz w:val="16"/>
                <w:szCs w:val="14"/>
              </w:rPr>
              <w:t>ALIQUOTE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 </w:t>
            </w:r>
            <w:r w:rsidRPr="00104D5E">
              <w:rPr>
                <w:rFonts w:ascii="Verdana" w:hAnsi="Verdana"/>
                <w:iCs/>
                <w:sz w:val="14"/>
                <w:szCs w:val="14"/>
                <w:lang w:eastAsia="it-IT"/>
              </w:rPr>
              <w:t>in attesa dell'approvazione del bilancio 2014 l'acconto sarà pagato in base alle aliquote 2013, con eventuale conguaglio a dicembre</w:t>
            </w:r>
            <w:r>
              <w:rPr>
                <w:rFonts w:ascii="Verdana" w:hAnsi="Verdana"/>
                <w:iCs/>
                <w:sz w:val="14"/>
                <w:szCs w:val="14"/>
                <w:lang w:eastAsia="it-IT"/>
              </w:rPr>
              <w:t>.</w:t>
            </w:r>
          </w:p>
          <w:p w:rsidR="00C71E06" w:rsidRDefault="00C71E06" w:rsidP="00BD761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</w:pPr>
            <w:r>
              <w:rPr>
                <w:rFonts w:ascii="Verdana" w:hAnsi="Verdana"/>
                <w:b/>
                <w:iCs/>
                <w:sz w:val="18"/>
                <w:szCs w:val="14"/>
              </w:rPr>
              <w:t>4</w:t>
            </w:r>
            <w:r w:rsidRPr="00BD7611">
              <w:rPr>
                <w:rFonts w:ascii="Verdana" w:hAnsi="Verdana"/>
                <w:b/>
                <w:iCs/>
                <w:sz w:val="18"/>
                <w:szCs w:val="14"/>
              </w:rPr>
              <w:t xml:space="preserve"> </w:t>
            </w:r>
            <w:r>
              <w:rPr>
                <w:rFonts w:ascii="Verdana" w:hAnsi="Verdana"/>
                <w:b/>
                <w:iCs/>
                <w:sz w:val="18"/>
                <w:szCs w:val="14"/>
              </w:rPr>
              <w:t xml:space="preserve">   </w:t>
            </w:r>
            <w:r w:rsidRPr="00BD7611">
              <w:rPr>
                <w:rFonts w:ascii="Verdana" w:hAnsi="Verdana"/>
                <w:b/>
                <w:iCs/>
                <w:sz w:val="18"/>
                <w:szCs w:val="14"/>
              </w:rPr>
              <w:t>per mille</w:t>
            </w:r>
            <w:r w:rsidRPr="00BD7611">
              <w:rPr>
                <w:rFonts w:ascii="Verdana" w:hAnsi="Verdana"/>
                <w:iCs/>
                <w:sz w:val="18"/>
                <w:szCs w:val="14"/>
              </w:rPr>
              <w:t xml:space="preserve"> </w:t>
            </w:r>
            <w:r w:rsidRPr="00A55ECB">
              <w:rPr>
                <w:rFonts w:ascii="Verdana" w:hAnsi="Verdana"/>
                <w:b/>
                <w:iCs/>
                <w:sz w:val="14"/>
                <w:szCs w:val="14"/>
              </w:rPr>
              <w:t>(A</w:t>
            </w:r>
            <w:r w:rsidRPr="00EB66C4">
              <w:rPr>
                <w:rFonts w:ascii="Verdana" w:hAnsi="Verdana"/>
                <w:b/>
                <w:iCs/>
                <w:sz w:val="14"/>
                <w:szCs w:val="14"/>
              </w:rPr>
              <w:t>bitazione principale</w:t>
            </w:r>
            <w:r w:rsidRPr="00EB66C4">
              <w:rPr>
                <w:rFonts w:ascii="Verdana" w:hAnsi="Verdana"/>
                <w:iCs/>
                <w:sz w:val="14"/>
                <w:szCs w:val="14"/>
              </w:rPr>
              <w:t xml:space="preserve"> e relative pertinenze, per le sole categorie catastali </w:t>
            </w:r>
            <w:r w:rsidRPr="00EB66C4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 xml:space="preserve">A/1, A/8 o A/9. </w:t>
            </w:r>
          </w:p>
          <w:p w:rsidR="00C71E06" w:rsidRPr="00EB66C4" w:rsidRDefault="00C71E06" w:rsidP="00D22506">
            <w:pPr>
              <w:pStyle w:val="Paragrafoelenco"/>
              <w:spacing w:after="0" w:line="240" w:lineRule="auto"/>
              <w:ind w:left="544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EB66C4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E’ prevista la sola detrazione </w:t>
            </w:r>
            <w:r w:rsidRPr="00EB66C4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>di € 200,00</w:t>
            </w:r>
            <w:r w:rsidRPr="00EB66C4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 per tali unità immobiliari, non essendo più applicabili le detrazioni relative ai figli a carico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.</w:t>
            </w:r>
            <w:r w:rsidRPr="00B41F33">
              <w:rPr>
                <w:rFonts w:eastAsia="Times New Roman" w:cs="Times New Roman"/>
              </w:rPr>
              <w:t xml:space="preserve"> </w:t>
            </w:r>
            <w:r w:rsidRPr="00BD7611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La predetta detrazione si applica anche agli alloggi regolarmente assegnati dagli Istituti autonomi per le case popolari (IACP) o dagli enti di edilizia residenziale pubblica, comunque denominati, aventi le stesse finalità degli IACP, istituiti in attuazione dell'</w:t>
            </w:r>
            <w:hyperlink r:id="rId11" w:history="1">
              <w:r w:rsidRPr="00BD7611">
                <w:rPr>
                  <w:rFonts w:ascii="Verdana" w:eastAsia="MS Mincho" w:hAnsi="Verdana"/>
                  <w:color w:val="000000"/>
                  <w:sz w:val="14"/>
                  <w:szCs w:val="14"/>
                  <w:lang w:eastAsia="ja-JP"/>
                </w:rPr>
                <w:t xml:space="preserve">articolo 93 del </w:t>
              </w:r>
              <w:r>
                <w:rPr>
                  <w:rFonts w:ascii="Verdana" w:eastAsia="MS Mincho" w:hAnsi="Verdana"/>
                  <w:color w:val="000000"/>
                  <w:sz w:val="14"/>
                  <w:szCs w:val="14"/>
                  <w:lang w:eastAsia="ja-JP"/>
                </w:rPr>
                <w:t>D.P.R.</w:t>
              </w:r>
              <w:r w:rsidRPr="00BD7611">
                <w:rPr>
                  <w:rFonts w:ascii="Verdana" w:eastAsia="MS Mincho" w:hAnsi="Verdana"/>
                  <w:color w:val="000000"/>
                  <w:sz w:val="14"/>
                  <w:szCs w:val="14"/>
                  <w:lang w:eastAsia="ja-JP"/>
                </w:rPr>
                <w:t xml:space="preserve"> 24 luglio 1977, n. 616</w:t>
              </w:r>
            </w:hyperlink>
            <w:r w:rsidRPr="00BD7611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.</w:t>
            </w:r>
          </w:p>
          <w:p w:rsidR="00C71E06" w:rsidRPr="008809E7" w:rsidRDefault="00C71E06" w:rsidP="009420C2">
            <w:pPr>
              <w:pStyle w:val="Corpodeltesto2"/>
              <w:numPr>
                <w:ilvl w:val="0"/>
                <w:numId w:val="4"/>
              </w:numPr>
              <w:tabs>
                <w:tab w:val="clear" w:pos="4840"/>
                <w:tab w:val="left" w:pos="0"/>
              </w:tabs>
              <w:ind w:right="0"/>
              <w:rPr>
                <w:rFonts w:ascii="Verdana" w:hAnsi="Verdana"/>
                <w:b/>
                <w:iCs/>
                <w:color w:val="FF0000"/>
                <w:sz w:val="14"/>
                <w:szCs w:val="14"/>
              </w:rPr>
            </w:pPr>
            <w:r>
              <w:rPr>
                <w:rFonts w:ascii="Verdana" w:eastAsiaTheme="minorEastAsia" w:hAnsi="Verdana" w:cstheme="minorBidi"/>
                <w:b/>
                <w:iCs/>
                <w:noProof w:val="0"/>
                <w:sz w:val="18"/>
                <w:szCs w:val="14"/>
              </w:rPr>
              <w:t>9,9</w:t>
            </w:r>
            <w:r w:rsidRPr="00D22506">
              <w:rPr>
                <w:rFonts w:ascii="Verdana" w:eastAsiaTheme="minorEastAsia" w:hAnsi="Verdana" w:cstheme="minorBidi"/>
                <w:b/>
                <w:iCs/>
                <w:noProof w:val="0"/>
                <w:sz w:val="18"/>
                <w:szCs w:val="14"/>
              </w:rPr>
              <w:t xml:space="preserve"> per mille </w:t>
            </w:r>
            <w:r w:rsidRPr="00D22506">
              <w:rPr>
                <w:rFonts w:ascii="Verdana" w:eastAsiaTheme="minorEastAsia" w:hAnsi="Verdana" w:cstheme="minorBidi"/>
                <w:b/>
                <w:iCs/>
                <w:noProof w:val="0"/>
                <w:sz w:val="14"/>
                <w:szCs w:val="14"/>
              </w:rPr>
              <w:t>(Immobili diversi dall’abitazione principale, altri fabbricati, aree edificabili)</w:t>
            </w:r>
          </w:p>
          <w:p w:rsidR="00C71E06" w:rsidRPr="00A55ECB" w:rsidRDefault="00C71E06" w:rsidP="00EA3342">
            <w:pPr>
              <w:pStyle w:val="Corpodeltesto2"/>
              <w:numPr>
                <w:ilvl w:val="0"/>
                <w:numId w:val="4"/>
              </w:numPr>
              <w:tabs>
                <w:tab w:val="clear" w:pos="4840"/>
                <w:tab w:val="left" w:pos="0"/>
              </w:tabs>
              <w:ind w:right="0"/>
              <w:rPr>
                <w:rFonts w:ascii="Verdana" w:hAnsi="Verdana"/>
                <w:b/>
                <w:iCs/>
                <w:color w:val="FF0000"/>
                <w:sz w:val="14"/>
                <w:szCs w:val="14"/>
              </w:rPr>
            </w:pPr>
            <w:r w:rsidRPr="00A55ECB">
              <w:rPr>
                <w:rFonts w:ascii="Verdana" w:eastAsiaTheme="minorEastAsia" w:hAnsi="Verdana" w:cstheme="minorBidi"/>
                <w:b/>
                <w:iCs/>
                <w:noProof w:val="0"/>
                <w:sz w:val="18"/>
                <w:szCs w:val="14"/>
              </w:rPr>
              <w:t xml:space="preserve">2 </w:t>
            </w:r>
            <w:r>
              <w:rPr>
                <w:rFonts w:ascii="Verdana" w:eastAsiaTheme="minorEastAsia" w:hAnsi="Verdana" w:cstheme="minorBidi"/>
                <w:b/>
                <w:iCs/>
                <w:noProof w:val="0"/>
                <w:sz w:val="18"/>
                <w:szCs w:val="14"/>
              </w:rPr>
              <w:t xml:space="preserve">   </w:t>
            </w:r>
            <w:r w:rsidRPr="00A55ECB">
              <w:rPr>
                <w:rFonts w:ascii="Verdana" w:eastAsiaTheme="minorEastAsia" w:hAnsi="Verdana" w:cstheme="minorBidi"/>
                <w:b/>
                <w:iCs/>
                <w:noProof w:val="0"/>
                <w:sz w:val="18"/>
                <w:szCs w:val="14"/>
              </w:rPr>
              <w:t xml:space="preserve">per mille </w:t>
            </w:r>
            <w:r w:rsidRPr="00A55ECB">
              <w:rPr>
                <w:rFonts w:ascii="Verdana" w:eastAsiaTheme="minorEastAsia" w:hAnsi="Verdana" w:cstheme="minorBidi"/>
                <w:b/>
                <w:iCs/>
                <w:noProof w:val="0"/>
                <w:sz w:val="14"/>
                <w:szCs w:val="14"/>
              </w:rPr>
              <w:t>(fabbricati rurali ad uso strumentale</w:t>
            </w:r>
            <w:r>
              <w:rPr>
                <w:rFonts w:ascii="Verdana" w:eastAsiaTheme="minorEastAsia" w:hAnsi="Verdana" w:cstheme="minorBidi"/>
                <w:b/>
                <w:iCs/>
                <w:noProof w:val="0"/>
                <w:sz w:val="14"/>
                <w:szCs w:val="14"/>
              </w:rPr>
              <w:t>)</w:t>
            </w:r>
          </w:p>
          <w:p w:rsidR="00C71E06" w:rsidRDefault="00C71E06" w:rsidP="00657688">
            <w:pPr>
              <w:pStyle w:val="Corpodeltesto2"/>
              <w:tabs>
                <w:tab w:val="clear" w:pos="4840"/>
                <w:tab w:val="left" w:pos="0"/>
              </w:tabs>
              <w:ind w:right="0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2458C0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 xml:space="preserve">Si precisa che dall’anno 2014, non </w:t>
            </w:r>
            <w:r w:rsidRPr="002458C0">
              <w:rPr>
                <w:rFonts w:ascii="Verdana" w:eastAsia="MS Mincho" w:hAnsi="Verdana"/>
                <w:b/>
                <w:color w:val="000000"/>
                <w:sz w:val="14"/>
                <w:szCs w:val="14"/>
                <w:u w:val="single"/>
                <w:lang w:eastAsia="ja-JP"/>
              </w:rPr>
              <w:t>si applica più l’IMU sull’abitazione principale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 </w:t>
            </w:r>
            <w:r w:rsidRPr="00EB66C4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(ad eccezione di quella classificata in categoria catastale A/1, A/8 o A/9 e relative pertinenze, come sopra 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descritte</w:t>
            </w:r>
            <w:r w:rsidRPr="00EB66C4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)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, mentre si applica la TASI.</w:t>
            </w:r>
          </w:p>
          <w:p w:rsidR="00C71E06" w:rsidRPr="0015492C" w:rsidRDefault="00C71E06" w:rsidP="00657688">
            <w:pPr>
              <w:pStyle w:val="Corpodeltesto2"/>
              <w:tabs>
                <w:tab w:val="clear" w:pos="4840"/>
                <w:tab w:val="left" w:pos="0"/>
              </w:tabs>
              <w:ind w:right="0"/>
              <w:rPr>
                <w:sz w:val="14"/>
                <w:szCs w:val="14"/>
              </w:rPr>
            </w:pP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Nel caso in cui i componenti del nucleo familiare abbiano stabilito la dimora abituale e la residenza anagrafica in immobili diversi situati nel territorio comunale, le agevolazioni per l’abitazione principale e per le relative pertinenze in relazione al nucleo familiare si applicano per un solo immobile. Per pertinenze dell'abitazione principale si intendono esclusivamente quelle classificate nelle categorie C/2, C/6 e C/7, nella misura massima di un'unità pertinenziale per ciascuna delle categorie indicate, anche se iscritte in catasto unitamente all'unità ad uso abitativo</w:t>
            </w:r>
          </w:p>
        </w:tc>
      </w:tr>
      <w:tr w:rsidR="00C71E06" w:rsidRPr="0015492C" w:rsidTr="00C71E06">
        <w:trPr>
          <w:trHeight w:val="143"/>
          <w:jc w:val="center"/>
        </w:trPr>
        <w:tc>
          <w:tcPr>
            <w:tcW w:w="15458" w:type="dxa"/>
          </w:tcPr>
          <w:p w:rsidR="00C71E06" w:rsidRPr="00A91502" w:rsidRDefault="00C71E06" w:rsidP="00EA3342">
            <w:pPr>
              <w:spacing w:after="0" w:line="240" w:lineRule="auto"/>
              <w:jc w:val="both"/>
              <w:rPr>
                <w:rFonts w:ascii="Verdana" w:eastAsia="MS Mincho" w:hAnsi="Verdana"/>
                <w:sz w:val="14"/>
                <w:szCs w:val="14"/>
                <w:lang w:eastAsia="ja-JP"/>
              </w:rPr>
            </w:pPr>
            <w:r w:rsidRPr="00B65DDA">
              <w:rPr>
                <w:rFonts w:ascii="Verdana" w:hAnsi="Verdana"/>
                <w:b/>
                <w:color w:val="FF0000"/>
                <w:sz w:val="16"/>
                <w:szCs w:val="14"/>
              </w:rPr>
              <w:t>AGEVOLAZIONI ESENZIONI</w:t>
            </w:r>
            <w:r w:rsidRPr="00A91502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 </w:t>
            </w:r>
            <w:r w:rsidRPr="00A91502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Sono previste dall’art. 9, comma 8, del D. </w:t>
            </w:r>
            <w:proofErr w:type="spellStart"/>
            <w:r w:rsidRPr="00A91502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Lgs</w:t>
            </w:r>
            <w:proofErr w:type="spellEnd"/>
            <w:r w:rsidRPr="00A91502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. 14/3/2011, n. 23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 e contemplate all’art. 8 del Regolamento IMU approvato con delibera di C.C. n.30 del 28/09/2012</w:t>
            </w:r>
          </w:p>
          <w:p w:rsidR="00C71E06" w:rsidRPr="0015492C" w:rsidRDefault="00C71E06" w:rsidP="00BD7611">
            <w:pPr>
              <w:spacing w:after="0" w:line="240" w:lineRule="auto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91502">
              <w:rPr>
                <w:rFonts w:ascii="Verdana" w:hAnsi="Verdana"/>
                <w:sz w:val="14"/>
                <w:szCs w:val="14"/>
              </w:rPr>
              <w:t>Dal 1° gennaio 2014 sono esenti i fabbricati costruiti e destinati dall'impresa costruttrice alla vendita, fintanto che permanga tale destinazione e non siano in</w:t>
            </w:r>
            <w:r w:rsidRPr="0015492C">
              <w:rPr>
                <w:rFonts w:ascii="Verdana" w:hAnsi="Verdana"/>
                <w:sz w:val="14"/>
                <w:szCs w:val="14"/>
              </w:rPr>
              <w:t xml:space="preserve"> ogni caso locati. </w:t>
            </w:r>
            <w:r w:rsidRPr="0015492C">
              <w:rPr>
                <w:rFonts w:ascii="Verdana" w:eastAsia="MS Mincho" w:hAnsi="Verdana"/>
                <w:sz w:val="14"/>
                <w:szCs w:val="14"/>
                <w:lang w:eastAsia="ja-JP"/>
              </w:rPr>
              <w:t xml:space="preserve">Per usufruire del beneficio è necessario presentare, </w:t>
            </w:r>
            <w:r w:rsidRPr="0015492C">
              <w:rPr>
                <w:rFonts w:ascii="Verdana" w:eastAsia="MS Mincho" w:hAnsi="Verdana"/>
                <w:sz w:val="14"/>
                <w:szCs w:val="14"/>
                <w:u w:val="single"/>
                <w:lang w:eastAsia="ja-JP"/>
              </w:rPr>
              <w:t>a pena di decadenza</w:t>
            </w:r>
            <w:r w:rsidRPr="0015492C">
              <w:rPr>
                <w:rFonts w:ascii="Verdana" w:eastAsia="MS Mincho" w:hAnsi="Verdana"/>
                <w:sz w:val="14"/>
                <w:szCs w:val="14"/>
                <w:lang w:eastAsia="ja-JP"/>
              </w:rPr>
              <w:t>, entro il termine ordinario di presentazione delle dichiarazioni di variazione relative all’IMU, apposita dichiarazione, utilizzando il modello approvato dal Ministero dell’economia e delle finanze.</w:t>
            </w:r>
            <w:r w:rsidRPr="0015492C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  <w:tr w:rsidR="00C71E06" w:rsidRPr="0015492C" w:rsidTr="00C71E06">
        <w:trPr>
          <w:trHeight w:val="143"/>
          <w:jc w:val="center"/>
        </w:trPr>
        <w:tc>
          <w:tcPr>
            <w:tcW w:w="15458" w:type="dxa"/>
          </w:tcPr>
          <w:p w:rsidR="00C71E06" w:rsidRDefault="00C71E06" w:rsidP="00EA3342">
            <w:pPr>
              <w:spacing w:after="0" w:line="240" w:lineRule="auto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>
              <w:rPr>
                <w:rFonts w:ascii="Verdana" w:hAnsi="Verdana"/>
                <w:b/>
                <w:color w:val="FF0000"/>
                <w:sz w:val="16"/>
                <w:szCs w:val="14"/>
              </w:rPr>
              <w:t>ASSIMILAZIONI ALL’</w:t>
            </w:r>
            <w:r w:rsidRPr="00B65DDA">
              <w:rPr>
                <w:rFonts w:ascii="Verdana" w:hAnsi="Verdana"/>
                <w:b/>
                <w:color w:val="FF0000"/>
                <w:sz w:val="16"/>
                <w:szCs w:val="14"/>
              </w:rPr>
              <w:t>ABITAZIONE PRINCIPALE</w:t>
            </w:r>
            <w:r w:rsidRPr="0015492C">
              <w:rPr>
                <w:rFonts w:ascii="Verdana" w:hAnsi="Verdana"/>
                <w:b/>
                <w:color w:val="FF0000"/>
                <w:sz w:val="14"/>
                <w:szCs w:val="14"/>
              </w:rPr>
              <w:t>.</w:t>
            </w:r>
          </w:p>
          <w:p w:rsidR="00C71E06" w:rsidRPr="0015492C" w:rsidRDefault="00C71E06" w:rsidP="00EA3342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Sono e</w:t>
            </w:r>
            <w:r w:rsidRPr="0015492C">
              <w:rPr>
                <w:rFonts w:ascii="Verdana" w:hAnsi="Verdana"/>
                <w:sz w:val="14"/>
                <w:szCs w:val="14"/>
              </w:rPr>
              <w:t>quiparat</w:t>
            </w:r>
            <w:r>
              <w:rPr>
                <w:rFonts w:ascii="Verdana" w:hAnsi="Verdana"/>
                <w:sz w:val="14"/>
                <w:szCs w:val="14"/>
              </w:rPr>
              <w:t>e, inoltre,</w:t>
            </w:r>
            <w:r w:rsidRPr="0015492C">
              <w:rPr>
                <w:rFonts w:ascii="Verdana" w:hAnsi="Verdana"/>
                <w:sz w:val="14"/>
                <w:szCs w:val="14"/>
              </w:rPr>
              <w:t xml:space="preserve"> all’abitazione principale:</w:t>
            </w:r>
          </w:p>
          <w:p w:rsidR="00C71E06" w:rsidRPr="00BD7611" w:rsidRDefault="00C71E06" w:rsidP="00BD761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 w:rsidRPr="00BD7611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le unità immobiliari appartenenti alle cooperative edilizie a proprietà indivisa, adibite ad abitazione principale e relative pertinenze dei soci assegnatari; </w:t>
            </w:r>
          </w:p>
          <w:p w:rsidR="00C71E06" w:rsidRPr="00BD7611" w:rsidRDefault="00C71E06" w:rsidP="00BD761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 w:rsidRPr="00BD7611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i fabbricati di civile abitazione destinati ad alloggi sociali come definiti dal </w:t>
            </w:r>
            <w:hyperlink r:id="rId12" w:history="1">
              <w:r w:rsidRPr="00BD7611">
                <w:rPr>
                  <w:rFonts w:ascii="Verdana" w:eastAsia="Calibri" w:hAnsi="Verdana" w:cs="Times New Roman"/>
                  <w:sz w:val="14"/>
                  <w:szCs w:val="14"/>
                  <w:lang w:eastAsia="en-US"/>
                </w:rPr>
                <w:t>decreto del Ministro delle infrastrutture 22 aprile 2008</w:t>
              </w:r>
            </w:hyperlink>
            <w:r w:rsidRPr="00BD7611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, pubblicato nella Gazzetta Ufficiale n. 146 del 24 giugno 2008; </w:t>
            </w:r>
          </w:p>
          <w:p w:rsidR="00C71E06" w:rsidRPr="00BD7611" w:rsidRDefault="00C71E06" w:rsidP="00BD761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l</w:t>
            </w:r>
            <w:r w:rsidRPr="00BD7611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a casa coniugale assegnata al coniuge, a seguito di provvedimento di separazione legale, annullamento, scioglimento o cessazione degli effetti civili del matrimonio; </w:t>
            </w:r>
          </w:p>
          <w:p w:rsidR="00C71E06" w:rsidRDefault="00C71E06" w:rsidP="00BD761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u</w:t>
            </w:r>
            <w:r w:rsidRPr="00BD7611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nico immobile, iscritto o iscrivibile nel catasto edilizio urbano come unica unità immobiliare, posseduto, e non concesso in locazione, dal personale in servizio permanente appartenente alle Forze armate e alle Forze di polizia ad ordinamento militare e da quello dipendente delle Forze di polizia ad ordinamento civile, nonché dal personale del Corpo nazionale dei vigili del fuoco, e, fatto salvo quanto previsto dall'</w:t>
            </w:r>
            <w:hyperlink r:id="rId13" w:history="1">
              <w:r w:rsidRPr="00BD7611">
                <w:rPr>
                  <w:rFonts w:ascii="Verdana" w:eastAsia="Calibri" w:hAnsi="Verdana" w:cs="Times New Roman"/>
                  <w:sz w:val="14"/>
                  <w:szCs w:val="14"/>
                  <w:lang w:eastAsia="en-US"/>
                </w:rPr>
                <w:t>articolo 28, comma 1, del decreto legislativo 19 maggio 2000, n. 139</w:t>
              </w:r>
            </w:hyperlink>
            <w:r w:rsidRPr="00BD7611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, dal personale appartenente alla carriera prefettizia, per il quale non sono richieste le condizioni della dimora abituale</w:t>
            </w: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 e della residenza anagrafica»</w:t>
            </w:r>
          </w:p>
          <w:p w:rsidR="00C71E06" w:rsidRDefault="00C71E06" w:rsidP="009420C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 w:rsidRPr="009420C2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l’unità immobiliare posseduta a titolo di proprietà o di usufrutto da anziani o disabili che acquisiscono la residenza in istituti di ricovero o sanitari a seguito di ricovero permanente, a condizione che la stessa non risulti locata.</w:t>
            </w:r>
          </w:p>
          <w:p w:rsidR="00C71E06" w:rsidRPr="009420C2" w:rsidRDefault="00C71E06" w:rsidP="009420C2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420C2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l’unità immobiliare posseduta dai cittadini italiani non residenti nel territorio dello Stato a titolo di proprietà o di usufrutto in Italia, a condizione che non risulti locata. </w:t>
            </w:r>
          </w:p>
          <w:p w:rsidR="00C71E06" w:rsidRPr="009420C2" w:rsidRDefault="00C71E06" w:rsidP="009420C2">
            <w:pPr>
              <w:spacing w:after="0" w:line="240" w:lineRule="auto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420C2">
              <w:rPr>
                <w:rFonts w:ascii="Verdana" w:eastAsia="MS Mincho" w:hAnsi="Verdana"/>
                <w:sz w:val="14"/>
                <w:szCs w:val="14"/>
                <w:lang w:eastAsia="ja-JP"/>
              </w:rPr>
              <w:t xml:space="preserve">Per beneficiare di tali equiparazioni all’abitazione principale, è necessario presentare, </w:t>
            </w:r>
            <w:r w:rsidRPr="009420C2">
              <w:rPr>
                <w:rFonts w:ascii="Verdana" w:eastAsia="MS Mincho" w:hAnsi="Verdana"/>
                <w:sz w:val="14"/>
                <w:szCs w:val="14"/>
                <w:u w:val="single"/>
                <w:lang w:eastAsia="ja-JP"/>
              </w:rPr>
              <w:t>a pena di decadenza</w:t>
            </w:r>
            <w:r w:rsidRPr="009420C2">
              <w:rPr>
                <w:rFonts w:ascii="Verdana" w:eastAsia="MS Mincho" w:hAnsi="Verdana"/>
                <w:sz w:val="14"/>
                <w:szCs w:val="14"/>
                <w:lang w:eastAsia="ja-JP"/>
              </w:rPr>
              <w:t>, entro il termine ordinario di presentazione delle dichiarazioni di variazione relative all’IMU, apposita dichiarazione, utilizzando il modello approvato dal Ministero dell’economia e delle finanze.</w:t>
            </w:r>
          </w:p>
        </w:tc>
      </w:tr>
      <w:tr w:rsidR="00C71E06" w:rsidRPr="0015492C" w:rsidTr="00C71E06">
        <w:trPr>
          <w:trHeight w:val="143"/>
          <w:jc w:val="center"/>
        </w:trPr>
        <w:tc>
          <w:tcPr>
            <w:tcW w:w="15458" w:type="dxa"/>
          </w:tcPr>
          <w:p w:rsidR="00C71E06" w:rsidRPr="00B65DDA" w:rsidRDefault="00C71E06" w:rsidP="00EA3342">
            <w:pPr>
              <w:spacing w:after="0" w:line="240" w:lineRule="auto"/>
              <w:jc w:val="both"/>
              <w:rPr>
                <w:rFonts w:ascii="Verdana" w:hAnsi="Verdana"/>
                <w:b/>
                <w:color w:val="FF0000"/>
                <w:sz w:val="16"/>
                <w:szCs w:val="14"/>
              </w:rPr>
            </w:pPr>
            <w:r w:rsidRPr="00B65DDA">
              <w:rPr>
                <w:rFonts w:ascii="Verdana" w:hAnsi="Verdana"/>
                <w:b/>
                <w:color w:val="FF0000"/>
                <w:sz w:val="16"/>
                <w:szCs w:val="14"/>
              </w:rPr>
              <w:t>COME SI DETERMINA IL TRIBUTO - MOLTIPLICATORI</w:t>
            </w:r>
          </w:p>
          <w:p w:rsidR="00C71E06" w:rsidRPr="0015492C" w:rsidRDefault="00C71E06" w:rsidP="00EA3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15492C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>BASE IMPONIBILE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. Per i </w:t>
            </w:r>
            <w:r w:rsidRPr="00AA2748">
              <w:rPr>
                <w:rFonts w:ascii="Verdana" w:eastAsia="MS Mincho" w:hAnsi="Verdana"/>
                <w:bCs/>
                <w:color w:val="000000"/>
                <w:sz w:val="14"/>
                <w:szCs w:val="14"/>
                <w:lang w:eastAsia="ja-JP"/>
              </w:rPr>
              <w:t xml:space="preserve">fabbricati iscritti in catasto </w:t>
            </w:r>
            <w:r w:rsidRPr="00AA274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la base imponibile è determinata applicando alle rendite risultanti in catasto, vigenti al 1° gennaio dell’anno di imposizione, </w:t>
            </w:r>
            <w:r w:rsidRPr="00BD7611"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  <w:t>rivalutate del 5%</w:t>
            </w:r>
            <w:r w:rsidRPr="00BD7611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>,</w:t>
            </w:r>
            <w:r w:rsidRPr="00AA274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 i seguenti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 moltiplicatori:</w:t>
            </w:r>
          </w:p>
          <w:p w:rsidR="00C71E06" w:rsidRPr="0015492C" w:rsidRDefault="00C71E06" w:rsidP="00EA3342">
            <w:pPr>
              <w:autoSpaceDE w:val="0"/>
              <w:autoSpaceDN w:val="0"/>
              <w:adjustRightInd w:val="0"/>
              <w:spacing w:after="0" w:line="240" w:lineRule="auto"/>
              <w:ind w:left="421" w:hanging="421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15492C"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  <w:t xml:space="preserve">160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per i fabbricati del gruppo catastale A (esclusi A/10) e delle categorie catas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tali C/2, C/6 e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C/7;</w:t>
            </w:r>
          </w:p>
          <w:p w:rsidR="00C71E06" w:rsidRPr="0015492C" w:rsidRDefault="00C71E06" w:rsidP="00EA3342">
            <w:pPr>
              <w:autoSpaceDE w:val="0"/>
              <w:autoSpaceDN w:val="0"/>
              <w:adjustRightInd w:val="0"/>
              <w:spacing w:after="0" w:line="240" w:lineRule="auto"/>
              <w:ind w:left="421" w:hanging="421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15492C"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  <w:t xml:space="preserve">140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per i fabbricati del gruppo catastale B e delle categorie catastali C/3, C/4 e C/5;</w:t>
            </w:r>
          </w:p>
          <w:p w:rsidR="00C71E06" w:rsidRPr="0015492C" w:rsidRDefault="00C71E06" w:rsidP="00EA3342">
            <w:pPr>
              <w:autoSpaceDE w:val="0"/>
              <w:autoSpaceDN w:val="0"/>
              <w:adjustRightInd w:val="0"/>
              <w:spacing w:after="0" w:line="240" w:lineRule="auto"/>
              <w:ind w:left="421" w:hanging="421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15492C"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  <w:t xml:space="preserve">  80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per i fabbricati delle categorie catastali D/5 e A/10;</w:t>
            </w:r>
          </w:p>
          <w:p w:rsidR="00C71E06" w:rsidRPr="0015492C" w:rsidRDefault="00C71E06" w:rsidP="00EA3342">
            <w:pPr>
              <w:autoSpaceDE w:val="0"/>
              <w:autoSpaceDN w:val="0"/>
              <w:adjustRightInd w:val="0"/>
              <w:spacing w:after="0" w:line="240" w:lineRule="auto"/>
              <w:ind w:left="421" w:hanging="421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15492C"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  <w:t xml:space="preserve">  65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per i fabbricati del gruppo catastale D (</w:t>
            </w:r>
            <w:r w:rsidRPr="0015492C">
              <w:rPr>
                <w:rFonts w:ascii="Verdana" w:hAnsi="Verdana"/>
                <w:color w:val="000000"/>
                <w:sz w:val="14"/>
                <w:szCs w:val="14"/>
                <w:shd w:val="clear" w:color="auto" w:fill="FBF9F9"/>
              </w:rPr>
              <w:t>ad eccezione della categoria cata</w:t>
            </w:r>
            <w:r>
              <w:rPr>
                <w:rFonts w:ascii="Verdana" w:hAnsi="Verdana"/>
                <w:color w:val="000000"/>
                <w:sz w:val="14"/>
                <w:szCs w:val="14"/>
                <w:shd w:val="clear" w:color="auto" w:fill="FBF9F9"/>
              </w:rPr>
              <w:t xml:space="preserve">stale </w:t>
            </w:r>
            <w:r w:rsidRPr="0015492C">
              <w:rPr>
                <w:rFonts w:ascii="Verdana" w:hAnsi="Verdana"/>
                <w:color w:val="000000"/>
                <w:sz w:val="14"/>
                <w:szCs w:val="14"/>
                <w:shd w:val="clear" w:color="auto" w:fill="FBF9F9"/>
              </w:rPr>
              <w:t>D/5)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;</w:t>
            </w:r>
          </w:p>
          <w:p w:rsidR="00C71E06" w:rsidRPr="0015492C" w:rsidRDefault="00C71E06" w:rsidP="00EA3342">
            <w:pPr>
              <w:autoSpaceDE w:val="0"/>
              <w:autoSpaceDN w:val="0"/>
              <w:adjustRightInd w:val="0"/>
              <w:spacing w:after="0" w:line="240" w:lineRule="auto"/>
              <w:ind w:left="421" w:hanging="421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15492C"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  <w:t xml:space="preserve">  55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per i fabbricati della categoria catastale C/1.</w:t>
            </w:r>
          </w:p>
          <w:p w:rsidR="00C71E06" w:rsidRPr="00AA2748" w:rsidRDefault="00C71E06" w:rsidP="00EA3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Per i </w:t>
            </w:r>
            <w:r w:rsidRPr="00AA2748">
              <w:rPr>
                <w:rFonts w:ascii="Verdana" w:eastAsia="MS Mincho" w:hAnsi="Verdana"/>
                <w:bCs/>
                <w:color w:val="000000"/>
                <w:sz w:val="14"/>
                <w:szCs w:val="14"/>
                <w:lang w:eastAsia="ja-JP"/>
              </w:rPr>
              <w:t>fabbricati del gruppo catastale D</w:t>
            </w:r>
            <w:r w:rsidRPr="00AA274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, non iscritti in catasto, posseduti da imprese e distintamente contabilizzati, la base imponibile è data dai costi di acquisizione per i coefficienti di attualizzazione stabiliti per anno di formazione. </w:t>
            </w:r>
          </w:p>
          <w:p w:rsidR="00C71E06" w:rsidRPr="0015492C" w:rsidRDefault="00C71E06" w:rsidP="007D6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4"/>
                <w:szCs w:val="14"/>
              </w:rPr>
            </w:pPr>
            <w:r w:rsidRPr="00AA274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Per i </w:t>
            </w:r>
            <w:r w:rsidRPr="00AA2748">
              <w:rPr>
                <w:rFonts w:ascii="Verdana" w:eastAsia="MS Mincho" w:hAnsi="Verdana"/>
                <w:bCs/>
                <w:color w:val="000000"/>
                <w:sz w:val="14"/>
                <w:szCs w:val="14"/>
                <w:lang w:eastAsia="ja-JP"/>
              </w:rPr>
              <w:t xml:space="preserve">fabbricati d’interesse storico o artistico </w:t>
            </w:r>
            <w:r w:rsidRPr="00AA274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e per i </w:t>
            </w:r>
            <w:r w:rsidRPr="00AA2748">
              <w:rPr>
                <w:rFonts w:ascii="Verdana" w:eastAsia="MS Mincho" w:hAnsi="Verdana"/>
                <w:bCs/>
                <w:color w:val="000000"/>
                <w:sz w:val="14"/>
                <w:szCs w:val="14"/>
                <w:lang w:eastAsia="ja-JP"/>
              </w:rPr>
              <w:t xml:space="preserve">fabbricati inagibili inabitabili </w:t>
            </w:r>
            <w:r w:rsidRPr="00AA274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e di fatto non utilizzati, la base imponibile è ridotta del 50%, limitatamente al periodo dell’anno durante il quale sussistono dette condizioni. 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 </w:t>
            </w:r>
            <w:r w:rsidRPr="00AA274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Per le </w:t>
            </w:r>
            <w:r w:rsidRPr="00AA2748">
              <w:rPr>
                <w:rFonts w:ascii="Verdana" w:eastAsia="MS Mincho" w:hAnsi="Verdana"/>
                <w:bCs/>
                <w:color w:val="000000"/>
                <w:sz w:val="14"/>
                <w:szCs w:val="14"/>
                <w:lang w:eastAsia="ja-JP"/>
              </w:rPr>
              <w:t xml:space="preserve">aree fabbricabili </w:t>
            </w:r>
            <w:r w:rsidRPr="00AA274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il valore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 è costituito da quello venale in comune commercio all’1/1/201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4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.</w:t>
            </w:r>
          </w:p>
        </w:tc>
      </w:tr>
      <w:tr w:rsidR="00C71E06" w:rsidRPr="0015492C" w:rsidTr="00C71E06">
        <w:trPr>
          <w:trHeight w:val="143"/>
          <w:jc w:val="center"/>
        </w:trPr>
        <w:tc>
          <w:tcPr>
            <w:tcW w:w="15458" w:type="dxa"/>
          </w:tcPr>
          <w:p w:rsidR="00C71E06" w:rsidRDefault="00C71E06" w:rsidP="00EA3342">
            <w:pPr>
              <w:spacing w:after="0" w:line="240" w:lineRule="auto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B65DDA">
              <w:rPr>
                <w:rFonts w:ascii="Verdana" w:hAnsi="Verdana"/>
                <w:b/>
                <w:color w:val="FF0000"/>
                <w:sz w:val="16"/>
                <w:szCs w:val="14"/>
              </w:rPr>
              <w:t>QUANDO E COME SI VERSA. INFORMAZIONI PER IL PAGAMENTO:</w:t>
            </w:r>
          </w:p>
          <w:p w:rsidR="00C71E06" w:rsidRPr="0067515D" w:rsidRDefault="00D23676" w:rsidP="00D23676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</w:t>
            </w:r>
            <w:r w:rsidR="00C71E06" w:rsidRPr="007066C8">
              <w:rPr>
                <w:rFonts w:ascii="Verdana" w:hAnsi="Verdana"/>
                <w:b/>
                <w:sz w:val="14"/>
                <w:szCs w:val="14"/>
              </w:rPr>
              <w:t xml:space="preserve">SCADENZE: </w:t>
            </w:r>
            <w:r w:rsidR="00C71E0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C71E06" w:rsidRPr="007066C8">
              <w:rPr>
                <w:rFonts w:ascii="Verdana" w:hAnsi="Verdana"/>
                <w:b/>
                <w:sz w:val="14"/>
                <w:szCs w:val="14"/>
              </w:rPr>
              <w:t>1 ^ RATA:</w:t>
            </w:r>
            <w:r w:rsidR="00C71E06"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 </w:t>
            </w:r>
            <w:r w:rsidR="00C71E06" w:rsidRPr="0015492C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>1</w:t>
            </w:r>
            <w:r w:rsidR="00C71E06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>6</w:t>
            </w:r>
            <w:r w:rsidR="00C71E06" w:rsidRPr="0015492C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 xml:space="preserve"> </w:t>
            </w:r>
            <w:r w:rsidR="00C71E06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 xml:space="preserve">GIUGNO </w:t>
            </w:r>
            <w:r w:rsidR="00C71E06" w:rsidRPr="007066C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(ACCONTO);</w:t>
            </w:r>
            <w:r w:rsidR="00C71E06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 xml:space="preserve"> 2^ RATA: 16 DICEMBRE </w:t>
            </w:r>
            <w:r w:rsidR="00C71E06" w:rsidRPr="007066C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(SALDO)</w:t>
            </w:r>
          </w:p>
          <w:p w:rsidR="00C71E06" w:rsidRPr="007066C8" w:rsidRDefault="00C71E06" w:rsidP="0067515D">
            <w:pPr>
              <w:spacing w:before="60" w:after="0" w:line="240" w:lineRule="auto"/>
              <w:jc w:val="both"/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</w:pPr>
            <w:r w:rsidRPr="007066C8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 xml:space="preserve">SISTEMI </w:t>
            </w:r>
            <w:proofErr w:type="spellStart"/>
            <w:r w:rsidRPr="007066C8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>DI</w:t>
            </w:r>
            <w:proofErr w:type="spellEnd"/>
            <w:r w:rsidRPr="007066C8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 xml:space="preserve"> PAGAMENTO:</w:t>
            </w:r>
          </w:p>
          <w:p w:rsidR="00C71E06" w:rsidRPr="007066C8" w:rsidRDefault="00C71E06" w:rsidP="007066C8">
            <w:pPr>
              <w:pStyle w:val="Paragrafoelenco"/>
              <w:numPr>
                <w:ilvl w:val="2"/>
                <w:numId w:val="4"/>
              </w:numPr>
              <w:spacing w:after="0" w:line="240" w:lineRule="auto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7066C8"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  <w:t xml:space="preserve">MODELLO F24 </w:t>
            </w:r>
            <w:r w:rsidRPr="007066C8">
              <w:rPr>
                <w:rFonts w:ascii="Verdana" w:eastAsia="MS Mincho" w:hAnsi="Verdana"/>
                <w:bCs/>
                <w:color w:val="000000"/>
                <w:sz w:val="14"/>
                <w:szCs w:val="14"/>
                <w:lang w:eastAsia="ja-JP"/>
              </w:rPr>
              <w:t>(</w:t>
            </w:r>
            <w:r w:rsidRPr="007066C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disponibile presso le banche, Poste Italiane Spa e 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Sito Pubblialifana</w:t>
            </w:r>
            <w:r w:rsidRPr="007066C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)</w:t>
            </w:r>
          </w:p>
          <w:p w:rsidR="00C71E06" w:rsidRPr="007066C8" w:rsidRDefault="00C71E06" w:rsidP="007066C8">
            <w:pPr>
              <w:pStyle w:val="Paragrafoelenco"/>
              <w:numPr>
                <w:ilvl w:val="2"/>
                <w:numId w:val="4"/>
              </w:numPr>
              <w:spacing w:after="0" w:line="240" w:lineRule="auto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066C8"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  <w:t xml:space="preserve">BOLLETTINO POSTALE </w:t>
            </w:r>
            <w:r w:rsidRPr="007066C8">
              <w:rPr>
                <w:rFonts w:ascii="Verdana" w:eastAsia="MS Mincho" w:hAnsi="Verdana"/>
                <w:bCs/>
                <w:color w:val="000000"/>
                <w:sz w:val="14"/>
                <w:szCs w:val="14"/>
                <w:lang w:eastAsia="ja-JP"/>
              </w:rPr>
              <w:t>(disponibile</w:t>
            </w:r>
            <w:r w:rsidRPr="007066C8"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  <w:t xml:space="preserve"> </w:t>
            </w:r>
            <w:r w:rsidRPr="007066C8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presso gli uffici postali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)</w:t>
            </w:r>
          </w:p>
          <w:p w:rsidR="00C71E06" w:rsidRDefault="00C71E06" w:rsidP="0067515D">
            <w:pPr>
              <w:spacing w:before="60" w:after="0" w:line="240" w:lineRule="auto"/>
              <w:jc w:val="both"/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</w:pPr>
            <w:r w:rsidRPr="00CD5EDD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 xml:space="preserve">CODICE CATASTALE COMUNE </w:t>
            </w:r>
            <w:proofErr w:type="spellStart"/>
            <w:r w:rsidRPr="00CD5EDD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>DI</w:t>
            </w:r>
            <w:proofErr w:type="spellEnd"/>
            <w:r w:rsidRPr="00CD5EDD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>CASAVATORE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:    </w:t>
            </w:r>
            <w:r w:rsidRPr="009420C2">
              <w:rPr>
                <w:rFonts w:ascii="Verdana" w:eastAsia="MS Mincho" w:hAnsi="Verdana"/>
                <w:b/>
                <w:color w:val="000000"/>
                <w:sz w:val="20"/>
                <w:szCs w:val="20"/>
                <w:u w:val="single"/>
                <w:lang w:eastAsia="ja-JP"/>
              </w:rPr>
              <w:t>B946</w:t>
            </w:r>
            <w:r w:rsidRPr="007066C8">
              <w:rPr>
                <w:rFonts w:ascii="Verdana" w:eastAsia="MS Mincho" w:hAnsi="Verdana"/>
                <w:b/>
                <w:bCs/>
                <w:color w:val="000000"/>
                <w:sz w:val="14"/>
                <w:szCs w:val="14"/>
                <w:lang w:eastAsia="ja-JP"/>
              </w:rPr>
              <w:t xml:space="preserve"> </w:t>
            </w:r>
          </w:p>
          <w:p w:rsidR="00C71E06" w:rsidRPr="00CD5EDD" w:rsidRDefault="00C71E06" w:rsidP="0067515D">
            <w:pPr>
              <w:tabs>
                <w:tab w:val="left" w:pos="6331"/>
              </w:tabs>
              <w:spacing w:before="60" w:after="0" w:line="240" w:lineRule="auto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CD5EDD">
              <w:rPr>
                <w:rFonts w:ascii="Verdana" w:hAnsi="Verdana"/>
                <w:b/>
                <w:sz w:val="14"/>
                <w:szCs w:val="14"/>
              </w:rPr>
              <w:t xml:space="preserve">CODICI TRIBUTO:                                                       </w:t>
            </w:r>
          </w:p>
          <w:tbl>
            <w:tblPr>
              <w:tblW w:w="0" w:type="auto"/>
              <w:jc w:val="center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451"/>
              <w:gridCol w:w="895"/>
              <w:gridCol w:w="1908"/>
            </w:tblGrid>
            <w:tr w:rsidR="00C71E06" w:rsidRPr="0015492C" w:rsidTr="00C71E06">
              <w:trPr>
                <w:trHeight w:val="218"/>
                <w:jc w:val="center"/>
              </w:trPr>
              <w:tc>
                <w:tcPr>
                  <w:tcW w:w="8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EA3342">
                  <w:pPr>
                    <w:spacing w:after="0" w:line="240" w:lineRule="auto"/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altri </w:t>
                  </w:r>
                  <w:r w:rsidRPr="0015492C">
                    <w:rPr>
                      <w:rFonts w:ascii="Verdana" w:hAnsi="Verdana"/>
                      <w:sz w:val="14"/>
                      <w:szCs w:val="14"/>
                    </w:rPr>
                    <w:t>fabbricati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E62580">
                    <w:rPr>
                      <w:rFonts w:ascii="Verdana" w:hAnsi="Verdana"/>
                      <w:sz w:val="12"/>
                      <w:szCs w:val="12"/>
                    </w:rPr>
                    <w:t>( QUOTA COMUNE 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EA3342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15492C">
                    <w:rPr>
                      <w:rFonts w:ascii="Verdana" w:hAnsi="Verdana"/>
                      <w:sz w:val="14"/>
                      <w:szCs w:val="14"/>
                    </w:rPr>
                    <w:t>3918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EA3342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C71E06" w:rsidRPr="0015492C" w:rsidTr="00C71E06">
              <w:trPr>
                <w:trHeight w:val="280"/>
                <w:jc w:val="center"/>
              </w:trPr>
              <w:tc>
                <w:tcPr>
                  <w:tcW w:w="8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7066C8">
                  <w:pPr>
                    <w:spacing w:after="0" w:line="240" w:lineRule="auto"/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r w:rsidRPr="0015492C">
                    <w:rPr>
                      <w:rFonts w:ascii="Verdana" w:hAnsi="Verdana"/>
                      <w:sz w:val="14"/>
                      <w:szCs w:val="14"/>
                    </w:rPr>
                    <w:t xml:space="preserve">abitazioni principali classificate </w:t>
                  </w:r>
                  <w:r w:rsidRPr="0015492C">
                    <w:rPr>
                      <w:rFonts w:ascii="Verdana" w:hAnsi="Verdana"/>
                      <w:color w:val="383838"/>
                      <w:sz w:val="14"/>
                      <w:szCs w:val="14"/>
                      <w:shd w:val="clear" w:color="auto" w:fill="FFFFFF"/>
                    </w:rPr>
                    <w:t xml:space="preserve">nelle categorie catastali </w:t>
                  </w:r>
                  <w:r w:rsidRPr="0015492C">
                    <w:rPr>
                      <w:rFonts w:ascii="Verdana" w:hAnsi="Verdana"/>
                      <w:b/>
                      <w:color w:val="383838"/>
                      <w:sz w:val="14"/>
                      <w:szCs w:val="14"/>
                      <w:shd w:val="clear" w:color="auto" w:fill="FFFFFF"/>
                    </w:rPr>
                    <w:t>A/1, A/8 e A/9</w:t>
                  </w:r>
                  <w:r>
                    <w:rPr>
                      <w:rFonts w:ascii="Verdana" w:hAnsi="Verdana"/>
                      <w:b/>
                      <w:color w:val="383838"/>
                      <w:sz w:val="14"/>
                      <w:szCs w:val="14"/>
                      <w:shd w:val="clear" w:color="auto" w:fill="FFFFFF"/>
                    </w:rPr>
                    <w:t xml:space="preserve">  </w:t>
                  </w:r>
                  <w:r>
                    <w:rPr>
                      <w:rFonts w:ascii="Verdana" w:hAnsi="Verdana"/>
                      <w:sz w:val="12"/>
                      <w:szCs w:val="12"/>
                    </w:rPr>
                    <w:t>(</w:t>
                  </w:r>
                  <w:r w:rsidRPr="00E62580">
                    <w:rPr>
                      <w:rFonts w:ascii="Verdana" w:hAnsi="Verdana"/>
                      <w:sz w:val="12"/>
                      <w:szCs w:val="12"/>
                    </w:rPr>
                    <w:t>QUOTA COMUNE 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EA3342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15492C">
                    <w:rPr>
                      <w:rFonts w:ascii="Verdana" w:hAnsi="Verdana"/>
                      <w:sz w:val="14"/>
                      <w:szCs w:val="14"/>
                    </w:rPr>
                    <w:t>3912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EA3342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C71E06" w:rsidRPr="0015492C" w:rsidTr="00C71E06">
              <w:trPr>
                <w:trHeight w:val="218"/>
                <w:jc w:val="center"/>
              </w:trPr>
              <w:tc>
                <w:tcPr>
                  <w:tcW w:w="8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83218E">
                  <w:pPr>
                    <w:spacing w:after="0" w:line="240" w:lineRule="auto"/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r w:rsidRPr="0015492C">
                    <w:rPr>
                      <w:rFonts w:ascii="Verdana" w:hAnsi="Verdana"/>
                      <w:sz w:val="14"/>
                      <w:szCs w:val="14"/>
                    </w:rPr>
                    <w:t xml:space="preserve">fabbricati rurali 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ad uso strumentale </w:t>
                  </w:r>
                  <w:r w:rsidRPr="00E62580">
                    <w:rPr>
                      <w:rFonts w:ascii="Verdana" w:hAnsi="Verdana"/>
                      <w:sz w:val="12"/>
                      <w:szCs w:val="12"/>
                    </w:rPr>
                    <w:t>( QUOTA COMUNE 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EA3342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15492C">
                    <w:rPr>
                      <w:rFonts w:ascii="Verdana" w:hAnsi="Verdana"/>
                      <w:sz w:val="14"/>
                      <w:szCs w:val="14"/>
                    </w:rPr>
                    <w:t>391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EA3342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C71E06" w:rsidRPr="0015492C" w:rsidTr="00C71E06">
              <w:trPr>
                <w:trHeight w:val="235"/>
                <w:jc w:val="center"/>
              </w:trPr>
              <w:tc>
                <w:tcPr>
                  <w:tcW w:w="8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E62580" w:rsidRDefault="00C71E06" w:rsidP="00EA3342">
                  <w:pPr>
                    <w:spacing w:after="0" w:line="240" w:lineRule="auto"/>
                    <w:jc w:val="both"/>
                  </w:pPr>
                  <w:r w:rsidRPr="0015492C">
                    <w:rPr>
                      <w:rFonts w:ascii="Verdana" w:hAnsi="Verdana"/>
                      <w:sz w:val="14"/>
                      <w:szCs w:val="14"/>
                    </w:rPr>
                    <w:t>aree fabbricabili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 xml:space="preserve"> </w:t>
                  </w:r>
                  <w:r w:rsidRPr="00E62580">
                    <w:rPr>
                      <w:rFonts w:ascii="Verdana" w:hAnsi="Verdana"/>
                      <w:sz w:val="12"/>
                      <w:szCs w:val="12"/>
                    </w:rPr>
                    <w:t>( QUOTA COMUNE 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EA3342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15492C">
                    <w:rPr>
                      <w:rFonts w:ascii="Verdana" w:hAnsi="Verdana"/>
                      <w:sz w:val="14"/>
                      <w:szCs w:val="14"/>
                    </w:rPr>
                    <w:t>3916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EA3342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-</w:t>
                  </w:r>
                </w:p>
              </w:tc>
            </w:tr>
            <w:tr w:rsidR="00C71E06" w:rsidRPr="0015492C" w:rsidTr="00C71E06">
              <w:trPr>
                <w:trHeight w:val="235"/>
                <w:jc w:val="center"/>
              </w:trPr>
              <w:tc>
                <w:tcPr>
                  <w:tcW w:w="8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ED53F2" w:rsidRDefault="00C71E06" w:rsidP="00EA3342">
                  <w:pPr>
                    <w:spacing w:after="0" w:line="240" w:lineRule="auto"/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r w:rsidRPr="00ED53F2">
                    <w:rPr>
                      <w:rFonts w:ascii="Verdana" w:eastAsia="MS Mincho" w:hAnsi="Verdana" w:cs="Verdana"/>
                      <w:sz w:val="14"/>
                      <w:szCs w:val="14"/>
                      <w:lang w:eastAsia="ja-JP"/>
                    </w:rPr>
                    <w:t>Fabbricati</w:t>
                  </w:r>
                  <w:r>
                    <w:rPr>
                      <w:rFonts w:ascii="Verdana" w:eastAsia="MS Mincho" w:hAnsi="Verdana" w:cs="Verdana"/>
                      <w:sz w:val="14"/>
                      <w:szCs w:val="14"/>
                      <w:lang w:eastAsia="ja-JP"/>
                    </w:rPr>
                    <w:t xml:space="preserve"> </w:t>
                  </w:r>
                  <w:r w:rsidRPr="00ED53F2">
                    <w:rPr>
                      <w:rFonts w:ascii="Verdana" w:eastAsia="MS Mincho" w:hAnsi="Verdana" w:cs="Verdana"/>
                      <w:sz w:val="14"/>
                      <w:szCs w:val="14"/>
                      <w:lang w:eastAsia="ja-JP"/>
                    </w:rPr>
                    <w:t>ad uso produttivo</w:t>
                  </w:r>
                  <w:r>
                    <w:rPr>
                      <w:rFonts w:ascii="Verdana" w:eastAsia="MS Mincho" w:hAnsi="Verdana" w:cs="Verdana"/>
                      <w:sz w:val="14"/>
                      <w:szCs w:val="14"/>
                      <w:lang w:eastAsia="ja-JP"/>
                    </w:rPr>
                    <w:t xml:space="preserve"> </w:t>
                  </w:r>
                  <w:r w:rsidRPr="00ED53F2">
                    <w:rPr>
                      <w:rFonts w:ascii="Verdana" w:eastAsia="MS Mincho" w:hAnsi="Verdana" w:cs="Verdana"/>
                      <w:sz w:val="14"/>
                      <w:szCs w:val="14"/>
                      <w:lang w:eastAsia="ja-JP"/>
                    </w:rPr>
                    <w:t>classificati nel</w:t>
                  </w:r>
                  <w:r>
                    <w:rPr>
                      <w:rFonts w:ascii="Verdana" w:eastAsia="MS Mincho" w:hAnsi="Verdana" w:cs="Verdana"/>
                      <w:sz w:val="14"/>
                      <w:szCs w:val="14"/>
                      <w:lang w:eastAsia="ja-JP"/>
                    </w:rPr>
                    <w:t xml:space="preserve"> </w:t>
                  </w:r>
                  <w:r w:rsidRPr="00ED53F2">
                    <w:rPr>
                      <w:rFonts w:ascii="Verdana" w:eastAsia="MS Mincho" w:hAnsi="Verdana" w:cs="Verdana"/>
                      <w:sz w:val="14"/>
                      <w:szCs w:val="14"/>
                      <w:lang w:eastAsia="ja-JP"/>
                    </w:rPr>
                    <w:t>gruppo catastale D</w:t>
                  </w:r>
                  <w:r>
                    <w:rPr>
                      <w:rFonts w:ascii="Verdana" w:eastAsia="MS Mincho" w:hAnsi="Verdana" w:cs="Verdana"/>
                      <w:sz w:val="14"/>
                      <w:szCs w:val="14"/>
                      <w:lang w:eastAsia="ja-JP"/>
                    </w:rPr>
                    <w:t xml:space="preserve"> 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(quota stato)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EA3342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3930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1E06" w:rsidRPr="0015492C" w:rsidRDefault="00C71E06" w:rsidP="007D641F">
                  <w:pPr>
                    <w:spacing w:after="0" w:line="240" w:lineRule="auto"/>
                    <w:ind w:left="-102" w:right="-68"/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3925 (quota stato)</w:t>
                  </w:r>
                </w:p>
              </w:tc>
            </w:tr>
          </w:tbl>
          <w:p w:rsidR="00C71E06" w:rsidRPr="0015492C" w:rsidRDefault="00C71E06" w:rsidP="00EA3342">
            <w:pPr>
              <w:spacing w:after="0" w:line="240" w:lineRule="auto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</w:tr>
      <w:tr w:rsidR="00C71E06" w:rsidRPr="0015492C" w:rsidTr="00C71E06">
        <w:trPr>
          <w:trHeight w:val="631"/>
          <w:jc w:val="center"/>
        </w:trPr>
        <w:tc>
          <w:tcPr>
            <w:tcW w:w="15458" w:type="dxa"/>
          </w:tcPr>
          <w:p w:rsidR="00C71E06" w:rsidRDefault="00C71E06" w:rsidP="000C391E">
            <w:pPr>
              <w:spacing w:after="0" w:line="240" w:lineRule="auto"/>
              <w:jc w:val="both"/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</w:pPr>
            <w:r w:rsidRPr="00B65DDA">
              <w:rPr>
                <w:rFonts w:ascii="Verdana" w:hAnsi="Verdana"/>
                <w:b/>
                <w:color w:val="FF0000"/>
                <w:sz w:val="16"/>
                <w:szCs w:val="14"/>
              </w:rPr>
              <w:t>QUANDO E COME SI EFFETTUA LA DICHIARAZIONE</w:t>
            </w:r>
            <w:r w:rsidRPr="0015492C">
              <w:rPr>
                <w:rFonts w:ascii="Verdana" w:hAnsi="Verdana"/>
                <w:b/>
                <w:color w:val="FF0000"/>
                <w:sz w:val="14"/>
                <w:szCs w:val="14"/>
              </w:rPr>
              <w:t>.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 </w:t>
            </w:r>
          </w:p>
          <w:p w:rsidR="00C71E06" w:rsidRPr="0015492C" w:rsidRDefault="00C71E06" w:rsidP="007D641F">
            <w:pPr>
              <w:spacing w:after="0" w:line="240" w:lineRule="auto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La dichiarazione va presentata entro il </w:t>
            </w:r>
            <w:r w:rsidRPr="00CD5EDD">
              <w:rPr>
                <w:rFonts w:ascii="Verdana" w:eastAsia="MS Mincho" w:hAnsi="Verdana"/>
                <w:b/>
                <w:color w:val="000000"/>
                <w:sz w:val="14"/>
                <w:szCs w:val="14"/>
                <w:lang w:eastAsia="ja-JP"/>
              </w:rPr>
              <w:t xml:space="preserve">30 giugno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dell’anno successivo quello in cui il possesso degli immobili ha avuto inizio o sono intervenute variazioni rilevanti ai fini della determinazione dell’imposta. La dichiarazione ha effetto anche per gli anni successivi sempre che non si verifichino modificazioni dei dati ed element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i dichiarati.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I modelli 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di dichiarazione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sono 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disponibili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D8555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sul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D85554">
              <w:rPr>
                <w:rFonts w:ascii="Verdana" w:hAnsi="Verdana"/>
                <w:color w:val="000000" w:themeColor="text1"/>
                <w:sz w:val="14"/>
                <w:szCs w:val="14"/>
              </w:rPr>
              <w:t>sito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del concessionario della riscossione</w:t>
            </w:r>
            <w:r w:rsidRPr="00D8555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u w:val="single"/>
              </w:rPr>
              <w:t>www.p</w:t>
            </w:r>
            <w:r w:rsidRPr="00D85554">
              <w:rPr>
                <w:rFonts w:ascii="Verdana" w:hAnsi="Verdana"/>
                <w:color w:val="000000" w:themeColor="text1"/>
                <w:sz w:val="14"/>
                <w:szCs w:val="14"/>
                <w:u w:val="single"/>
              </w:rPr>
              <w:t>ubblialifana.it</w:t>
            </w:r>
            <w:r w:rsidRPr="0015492C">
              <w:rPr>
                <w:rFonts w:ascii="Verdana" w:eastAsia="MS Mincho" w:hAnsi="Verdana"/>
                <w:color w:val="0000FF"/>
                <w:sz w:val="14"/>
                <w:szCs w:val="14"/>
                <w:lang w:eastAsia="ja-JP"/>
              </w:rPr>
              <w:t xml:space="preserve">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 xml:space="preserve">e dal sito Internet del Ministero dell'economia e delle finanze </w:t>
            </w:r>
            <w:r w:rsidRPr="0015492C">
              <w:rPr>
                <w:rFonts w:ascii="Verdana" w:eastAsia="MS Mincho" w:hAnsi="Verdana"/>
                <w:color w:val="0000FF"/>
                <w:sz w:val="14"/>
                <w:szCs w:val="14"/>
                <w:lang w:eastAsia="ja-JP"/>
              </w:rPr>
              <w:t xml:space="preserve">www.finanze.gov.it </w:t>
            </w:r>
            <w:r w:rsidRPr="0015492C"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in versione PDF editabile e possono essere utilizzati</w:t>
            </w:r>
            <w:r>
              <w:rPr>
                <w:rFonts w:ascii="Verdana" w:eastAsia="MS Mincho" w:hAnsi="Verdana"/>
                <w:color w:val="000000"/>
                <w:sz w:val="14"/>
                <w:szCs w:val="14"/>
                <w:lang w:eastAsia="ja-JP"/>
              </w:rPr>
              <w:t>.</w:t>
            </w:r>
          </w:p>
        </w:tc>
      </w:tr>
    </w:tbl>
    <w:p w:rsidR="00D85554" w:rsidRDefault="00D85554" w:rsidP="00C71E06">
      <w:pPr>
        <w:spacing w:after="0" w:line="24" w:lineRule="auto"/>
        <w:jc w:val="center"/>
      </w:pPr>
    </w:p>
    <w:p w:rsidR="00AB1AA2" w:rsidRDefault="00AB1AA2" w:rsidP="003C5CEC">
      <w:pPr>
        <w:spacing w:after="0" w:line="24" w:lineRule="auto"/>
      </w:pPr>
    </w:p>
    <w:tbl>
      <w:tblPr>
        <w:tblpPr w:leftFromText="141" w:rightFromText="141" w:vertAnchor="text" w:horzAnchor="margin" w:tblpX="108" w:tblpY="793"/>
        <w:tblOverlap w:val="never"/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"/>
        <w:gridCol w:w="14377"/>
      </w:tblGrid>
      <w:tr w:rsidR="00C92367" w:rsidRPr="0015492C" w:rsidTr="00C92367">
        <w:trPr>
          <w:trHeight w:val="782"/>
        </w:trPr>
        <w:tc>
          <w:tcPr>
            <w:tcW w:w="1088" w:type="dxa"/>
            <w:shd w:val="pct12" w:color="auto" w:fill="auto"/>
            <w:vAlign w:val="center"/>
          </w:tcPr>
          <w:p w:rsidR="00C92367" w:rsidRPr="0015492C" w:rsidRDefault="00C92367" w:rsidP="00C92367">
            <w:pPr>
              <w:spacing w:after="0" w:line="240" w:lineRule="auto"/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15492C">
              <w:rPr>
                <w:rFonts w:ascii="Verdana" w:hAnsi="Verdana"/>
                <w:b/>
                <w:color w:val="FF0000"/>
                <w:sz w:val="28"/>
                <w:szCs w:val="28"/>
              </w:rPr>
              <w:t>TASI</w:t>
            </w:r>
          </w:p>
        </w:tc>
        <w:tc>
          <w:tcPr>
            <w:tcW w:w="14377" w:type="dxa"/>
          </w:tcPr>
          <w:p w:rsidR="00C92367" w:rsidRPr="00C71E06" w:rsidRDefault="00C92367" w:rsidP="00C92367">
            <w:pPr>
              <w:spacing w:after="0" w:line="360" w:lineRule="auto"/>
              <w:jc w:val="both"/>
              <w:rPr>
                <w:rFonts w:ascii="Verdana" w:hAnsi="Verdana"/>
                <w:b/>
                <w:sz w:val="15"/>
                <w:szCs w:val="15"/>
              </w:rPr>
            </w:pPr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SULLA BASE DELLE INDICAZIONI FORNITE DAL GOVERNO, LA TASI SARA’ RINVIATA AL MESE </w:t>
            </w:r>
            <w:proofErr w:type="spellStart"/>
            <w:r w:rsidRPr="00C71E06">
              <w:rPr>
                <w:rFonts w:ascii="Verdana" w:hAnsi="Verdana"/>
                <w:b/>
                <w:sz w:val="15"/>
                <w:szCs w:val="15"/>
              </w:rPr>
              <w:t>DI</w:t>
            </w:r>
            <w:proofErr w:type="spellEnd"/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 OTTOBRE.</w:t>
            </w:r>
          </w:p>
          <w:p w:rsidR="00C92367" w:rsidRPr="00C71E06" w:rsidRDefault="00C92367" w:rsidP="00C92367">
            <w:pPr>
              <w:spacing w:after="0" w:line="360" w:lineRule="auto"/>
              <w:jc w:val="both"/>
              <w:rPr>
                <w:rFonts w:ascii="Verdana" w:hAnsi="Verdana"/>
                <w:b/>
                <w:sz w:val="15"/>
                <w:szCs w:val="15"/>
              </w:rPr>
            </w:pPr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PERTANTO, </w:t>
            </w:r>
            <w:r w:rsidR="006247A0" w:rsidRPr="00C71E06">
              <w:rPr>
                <w:rFonts w:ascii="Verdana" w:hAnsi="Verdana"/>
                <w:b/>
                <w:sz w:val="15"/>
                <w:szCs w:val="15"/>
              </w:rPr>
              <w:t xml:space="preserve">PER IL PROSSIMO </w:t>
            </w:r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16 GIUGNO </w:t>
            </w:r>
            <w:r w:rsidR="006247A0" w:rsidRPr="00C71E06">
              <w:rPr>
                <w:rFonts w:ascii="Verdana" w:hAnsi="Verdana"/>
                <w:b/>
                <w:sz w:val="15"/>
                <w:szCs w:val="15"/>
              </w:rPr>
              <w:t>C.A.</w:t>
            </w:r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, I CONTRIBUENTI NON SONO TENUTI AD EFFETTUARE VERSAMENTI A TITOLO </w:t>
            </w:r>
            <w:proofErr w:type="spellStart"/>
            <w:r w:rsidRPr="00C71E06">
              <w:rPr>
                <w:rFonts w:ascii="Verdana" w:hAnsi="Verdana"/>
                <w:b/>
                <w:sz w:val="15"/>
                <w:szCs w:val="15"/>
              </w:rPr>
              <w:t>DI</w:t>
            </w:r>
            <w:proofErr w:type="spellEnd"/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 TASI</w:t>
            </w:r>
          </w:p>
          <w:p w:rsidR="00C92367" w:rsidRPr="0015492C" w:rsidRDefault="00C92367" w:rsidP="00C92367">
            <w:pPr>
              <w:spacing w:after="0" w:line="360" w:lineRule="auto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C71E06">
              <w:rPr>
                <w:rFonts w:ascii="Verdana" w:hAnsi="Verdana"/>
                <w:b/>
                <w:sz w:val="15"/>
                <w:szCs w:val="15"/>
              </w:rPr>
              <w:t>APPENA DEFINITE LE NUOVE SCADENZE, LE ALIQUOTE E LE ALTRE CONDIZIONI PER IL PAGAMENTO DELLA TASI 2014, SARA’ DATA AMPIA INFORMAZIONE ALLA CITTADINANZA.</w:t>
            </w:r>
          </w:p>
        </w:tc>
      </w:tr>
    </w:tbl>
    <w:p w:rsidR="00C92367" w:rsidRDefault="00C92367" w:rsidP="00A55ECB">
      <w:pPr>
        <w:spacing w:after="0" w:line="240" w:lineRule="auto"/>
        <w:jc w:val="both"/>
        <w:rPr>
          <w:b/>
          <w:sz w:val="24"/>
        </w:rPr>
      </w:pPr>
    </w:p>
    <w:p w:rsidR="00C92367" w:rsidRDefault="00C92367" w:rsidP="00A55ECB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RELATIVAMENTE ALLE ALTRE COMPONENTI DELLA IUC (TASI E TARI), SI PRECISA QUANTO SEGUE:</w:t>
      </w:r>
    </w:p>
    <w:p w:rsidR="00C92367" w:rsidRDefault="00C92367" w:rsidP="00A55ECB">
      <w:pPr>
        <w:spacing w:after="0" w:line="240" w:lineRule="auto"/>
        <w:jc w:val="both"/>
        <w:rPr>
          <w:b/>
          <w:sz w:val="24"/>
        </w:rPr>
      </w:pPr>
    </w:p>
    <w:tbl>
      <w:tblPr>
        <w:tblpPr w:leftFromText="141" w:rightFromText="141" w:vertAnchor="text" w:horzAnchor="margin" w:tblpX="108" w:tblpYSpec="inside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"/>
        <w:gridCol w:w="14382"/>
      </w:tblGrid>
      <w:tr w:rsidR="00C92367" w:rsidRPr="0015492C" w:rsidTr="00C92367">
        <w:trPr>
          <w:trHeight w:val="151"/>
        </w:trPr>
        <w:tc>
          <w:tcPr>
            <w:tcW w:w="107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C92367" w:rsidRPr="0015492C" w:rsidRDefault="00C92367" w:rsidP="00C92367">
            <w:pPr>
              <w:spacing w:after="0" w:line="240" w:lineRule="auto"/>
              <w:jc w:val="center"/>
            </w:pPr>
            <w:r>
              <w:rPr>
                <w:rFonts w:ascii="Verdana" w:hAnsi="Verdana"/>
                <w:b/>
                <w:color w:val="FF0000"/>
                <w:sz w:val="28"/>
                <w:szCs w:val="28"/>
              </w:rPr>
              <w:t>TAR</w:t>
            </w:r>
            <w:r w:rsidRPr="0015492C">
              <w:rPr>
                <w:rFonts w:ascii="Verdana" w:hAnsi="Verdana"/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4382" w:type="dxa"/>
            <w:tcBorders>
              <w:bottom w:val="single" w:sz="4" w:space="0" w:color="auto"/>
            </w:tcBorders>
          </w:tcPr>
          <w:p w:rsidR="00C92367" w:rsidRPr="00C71E06" w:rsidRDefault="00C92367" w:rsidP="00C92367">
            <w:pPr>
              <w:tabs>
                <w:tab w:val="center" w:pos="4840"/>
              </w:tabs>
              <w:spacing w:after="0" w:line="360" w:lineRule="auto"/>
              <w:ind w:right="34"/>
              <w:jc w:val="both"/>
              <w:rPr>
                <w:rFonts w:ascii="Verdana" w:hAnsi="Verdana"/>
                <w:b/>
                <w:sz w:val="15"/>
                <w:szCs w:val="15"/>
              </w:rPr>
            </w:pPr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ANCHE PER LA TARI, LE SCADENZE, LE TARIFFE E LE ALTRE CONDIZIONI SARANNO OGGETTO </w:t>
            </w:r>
            <w:proofErr w:type="spellStart"/>
            <w:r w:rsidRPr="00C71E06">
              <w:rPr>
                <w:rFonts w:ascii="Verdana" w:hAnsi="Verdana"/>
                <w:b/>
                <w:sz w:val="15"/>
                <w:szCs w:val="15"/>
              </w:rPr>
              <w:t>DI</w:t>
            </w:r>
            <w:proofErr w:type="spellEnd"/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 FUTURE COMUNICAZIONI.</w:t>
            </w:r>
          </w:p>
          <w:p w:rsidR="00C92367" w:rsidRPr="00C71E06" w:rsidRDefault="00C92367" w:rsidP="00C92367">
            <w:pPr>
              <w:tabs>
                <w:tab w:val="center" w:pos="4840"/>
              </w:tabs>
              <w:spacing w:after="0" w:line="360" w:lineRule="auto"/>
              <w:ind w:right="34"/>
              <w:jc w:val="both"/>
              <w:rPr>
                <w:rFonts w:ascii="Verdana" w:hAnsi="Verdana"/>
                <w:b/>
                <w:sz w:val="15"/>
                <w:szCs w:val="15"/>
              </w:rPr>
            </w:pPr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IN OGNI CASO, GLI AVVISI </w:t>
            </w:r>
            <w:proofErr w:type="spellStart"/>
            <w:r w:rsidRPr="00C71E06">
              <w:rPr>
                <w:rFonts w:ascii="Verdana" w:hAnsi="Verdana"/>
                <w:b/>
                <w:sz w:val="15"/>
                <w:szCs w:val="15"/>
              </w:rPr>
              <w:t>DI</w:t>
            </w:r>
            <w:proofErr w:type="spellEnd"/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 PAGAMENTO DELLA TARI, CON L’INDICAZIONE DELL’IMPORTO DOVUTO, DELLE TARIFFE APPLICATE E DELLE ALTRE INFORMAZIONI RIGUARDANTI LA TASSAZIONE, SARANNO RECAPITATI SINGOLARMENTE A CASA </w:t>
            </w:r>
            <w:proofErr w:type="spellStart"/>
            <w:r w:rsidRPr="00C71E06">
              <w:rPr>
                <w:rFonts w:ascii="Verdana" w:hAnsi="Verdana"/>
                <w:b/>
                <w:sz w:val="15"/>
                <w:szCs w:val="15"/>
              </w:rPr>
              <w:t>DI</w:t>
            </w:r>
            <w:proofErr w:type="spellEnd"/>
            <w:r w:rsidRPr="00C71E06">
              <w:rPr>
                <w:rFonts w:ascii="Verdana" w:hAnsi="Verdana"/>
                <w:b/>
                <w:sz w:val="15"/>
                <w:szCs w:val="15"/>
              </w:rPr>
              <w:t xml:space="preserve"> CIASCUN CONTRIBUENTE. </w:t>
            </w:r>
          </w:p>
        </w:tc>
      </w:tr>
      <w:tr w:rsidR="00C92367" w:rsidRPr="0015492C" w:rsidTr="00C92367">
        <w:trPr>
          <w:trHeight w:val="172"/>
        </w:trPr>
        <w:tc>
          <w:tcPr>
            <w:tcW w:w="154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92367" w:rsidRPr="00A7314D" w:rsidRDefault="00C92367" w:rsidP="00C92367">
            <w:pPr>
              <w:pStyle w:val="Titolo2"/>
              <w:spacing w:before="0" w:line="240" w:lineRule="auto"/>
              <w:jc w:val="both"/>
              <w:rPr>
                <w:rFonts w:ascii="Verdana" w:hAnsi="Verdana"/>
                <w:b w:val="0"/>
                <w:sz w:val="14"/>
                <w:szCs w:val="14"/>
              </w:rPr>
            </w:pPr>
          </w:p>
        </w:tc>
      </w:tr>
    </w:tbl>
    <w:p w:rsidR="00C71E06" w:rsidRDefault="000747A7" w:rsidP="00A55ECB">
      <w:pPr>
        <w:spacing w:after="0" w:line="240" w:lineRule="auto"/>
        <w:jc w:val="both"/>
        <w:rPr>
          <w:b/>
          <w:sz w:val="24"/>
        </w:rPr>
      </w:pPr>
      <w:r w:rsidRPr="000747A7">
        <w:rPr>
          <w:b/>
          <w:sz w:val="24"/>
        </w:rPr>
        <w:t xml:space="preserve">Per info: </w:t>
      </w:r>
    </w:p>
    <w:p w:rsidR="00C71E06" w:rsidRPr="00C71E06" w:rsidRDefault="00C71E06" w:rsidP="00C71E06">
      <w:pPr>
        <w:pStyle w:val="Paragrafoelenco"/>
        <w:numPr>
          <w:ilvl w:val="0"/>
          <w:numId w:val="4"/>
        </w:numPr>
        <w:spacing w:after="0" w:line="240" w:lineRule="auto"/>
        <w:jc w:val="both"/>
      </w:pPr>
      <w:r w:rsidRPr="00C71E06">
        <w:t>U</w:t>
      </w:r>
      <w:r w:rsidR="000747A7" w:rsidRPr="00C71E06">
        <w:t>fficio PubbliAlifana srl</w:t>
      </w:r>
      <w:r w:rsidRPr="00C71E06">
        <w:t xml:space="preserve"> (Piazza M. Orefice)</w:t>
      </w:r>
      <w:r w:rsidR="000747A7" w:rsidRPr="00C71E06">
        <w:t xml:space="preserve"> Lunedì</w:t>
      </w:r>
      <w:r w:rsidRPr="00C71E06">
        <w:t>, Mercoledì e</w:t>
      </w:r>
      <w:r w:rsidR="000747A7" w:rsidRPr="00C71E06">
        <w:t xml:space="preserve"> Venerdì 09.00</w:t>
      </w:r>
      <w:r w:rsidRPr="00C71E06">
        <w:t xml:space="preserve"> - </w:t>
      </w:r>
      <w:r w:rsidR="000747A7" w:rsidRPr="00C71E06">
        <w:t>1</w:t>
      </w:r>
      <w:r w:rsidRPr="00C71E06">
        <w:t>2</w:t>
      </w:r>
      <w:r w:rsidR="000747A7" w:rsidRPr="00C71E06">
        <w:t xml:space="preserve">.00 </w:t>
      </w:r>
      <w:r w:rsidRPr="00C71E06">
        <w:t>– Martedì e Giovedì 15.00-1700</w:t>
      </w:r>
    </w:p>
    <w:p w:rsidR="00D27144" w:rsidRPr="00C71E06" w:rsidRDefault="00C71E06" w:rsidP="00C71E0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Style w:val="Collegamentoipertestuale"/>
          <w:color w:val="000000" w:themeColor="text1"/>
          <w:sz w:val="20"/>
          <w:u w:val="none"/>
        </w:rPr>
      </w:pPr>
      <w:r w:rsidRPr="00C71E06">
        <w:t>T</w:t>
      </w:r>
      <w:r w:rsidR="000747A7" w:rsidRPr="00C71E06">
        <w:t xml:space="preserve">el.0823/543163 – fax 0823/913543 e-mail: </w:t>
      </w:r>
      <w:hyperlink r:id="rId14" w:history="1">
        <w:r w:rsidR="000747A7" w:rsidRPr="00C71E06">
          <w:rPr>
            <w:sz w:val="20"/>
          </w:rPr>
          <w:t>pubblialifana@pubblialifana.it</w:t>
        </w:r>
      </w:hyperlink>
      <w:r w:rsidR="000747A7" w:rsidRPr="00C71E06">
        <w:rPr>
          <w:rStyle w:val="Collegamentoipertestuale"/>
          <w:color w:val="000000" w:themeColor="text1"/>
          <w:sz w:val="20"/>
          <w:u w:val="none"/>
        </w:rPr>
        <w:t xml:space="preserve"> -</w:t>
      </w:r>
      <w:hyperlink r:id="rId15" w:history="1">
        <w:r w:rsidR="000747A7" w:rsidRPr="00C71E06">
          <w:rPr>
            <w:rStyle w:val="Collegamentoipertestuale"/>
            <w:color w:val="000000" w:themeColor="text1"/>
            <w:u w:val="none"/>
          </w:rPr>
          <w:t>pubblialifana@postecert.it</w:t>
        </w:r>
      </w:hyperlink>
      <w:r w:rsidRPr="00C71E06">
        <w:rPr>
          <w:rStyle w:val="Collegamentoipertestuale"/>
          <w:color w:val="000000" w:themeColor="text1"/>
          <w:u w:val="none"/>
        </w:rPr>
        <w:t xml:space="preserve"> – Sito internet: </w:t>
      </w:r>
      <w:hyperlink r:id="rId16" w:history="1">
        <w:r w:rsidRPr="00C71E06">
          <w:rPr>
            <w:rStyle w:val="Collegamentoipertestuale"/>
          </w:rPr>
          <w:t>www.pubblialifana.it</w:t>
        </w:r>
      </w:hyperlink>
      <w:r w:rsidRPr="00C71E06">
        <w:rPr>
          <w:rStyle w:val="Collegamentoipertestuale"/>
          <w:b/>
          <w:color w:val="000000" w:themeColor="text1"/>
          <w:u w:val="none"/>
        </w:rPr>
        <w:t xml:space="preserve">   </w:t>
      </w:r>
    </w:p>
    <w:p w:rsidR="00C71E06" w:rsidRDefault="00C71E06" w:rsidP="00C71E06">
      <w:pPr>
        <w:spacing w:after="0" w:line="240" w:lineRule="auto"/>
        <w:jc w:val="both"/>
        <w:rPr>
          <w:rStyle w:val="Collegamentoipertestuale"/>
          <w:color w:val="000000" w:themeColor="text1"/>
          <w:u w:val="none"/>
        </w:rPr>
      </w:pPr>
    </w:p>
    <w:p w:rsidR="00C71E06" w:rsidRDefault="00C71E06" w:rsidP="00C71E06">
      <w:pPr>
        <w:spacing w:after="0" w:line="240" w:lineRule="auto"/>
        <w:ind w:left="708" w:firstLine="708"/>
        <w:jc w:val="both"/>
        <w:rPr>
          <w:rFonts w:asciiTheme="minorHAnsi" w:eastAsiaTheme="minorEastAsia" w:hAnsiTheme="minorHAnsi" w:cstheme="minorBidi"/>
          <w:sz w:val="24"/>
          <w:lang w:eastAsia="it-IT"/>
        </w:rPr>
      </w:pPr>
    </w:p>
    <w:p w:rsidR="00C71E06" w:rsidRDefault="00C71E06" w:rsidP="00C71E06">
      <w:pPr>
        <w:spacing w:after="0" w:line="240" w:lineRule="auto"/>
        <w:ind w:left="708" w:firstLine="708"/>
        <w:jc w:val="both"/>
        <w:rPr>
          <w:rFonts w:asciiTheme="minorHAnsi" w:eastAsiaTheme="minorEastAsia" w:hAnsiTheme="minorHAnsi" w:cstheme="minorBidi"/>
          <w:sz w:val="24"/>
          <w:lang w:eastAsia="it-IT"/>
        </w:rPr>
      </w:pPr>
      <w:proofErr w:type="spellStart"/>
      <w:r w:rsidRPr="00C71E06">
        <w:rPr>
          <w:rFonts w:asciiTheme="minorHAnsi" w:eastAsiaTheme="minorEastAsia" w:hAnsiTheme="minorHAnsi" w:cstheme="minorBidi"/>
          <w:sz w:val="24"/>
          <w:lang w:eastAsia="it-IT"/>
        </w:rPr>
        <w:t>Pubblialifana</w:t>
      </w:r>
      <w:proofErr w:type="spellEnd"/>
      <w:r w:rsidRPr="00C71E06">
        <w:rPr>
          <w:rFonts w:asciiTheme="minorHAnsi" w:eastAsiaTheme="minorEastAsia" w:hAnsiTheme="minorHAnsi" w:cstheme="minorBidi"/>
          <w:sz w:val="24"/>
          <w:lang w:eastAsia="it-IT"/>
        </w:rPr>
        <w:t xml:space="preserve"> Srl  </w:t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</w:r>
      <w:r w:rsidR="00D23676">
        <w:rPr>
          <w:rFonts w:asciiTheme="minorHAnsi" w:eastAsiaTheme="minorEastAsia" w:hAnsiTheme="minorHAnsi" w:cstheme="minorBidi"/>
          <w:sz w:val="24"/>
          <w:lang w:eastAsia="it-IT"/>
        </w:rPr>
        <w:t xml:space="preserve">                                         </w:t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</w:r>
      <w:r w:rsidRPr="00C71E06">
        <w:rPr>
          <w:rFonts w:asciiTheme="minorHAnsi" w:eastAsiaTheme="minorEastAsia" w:hAnsiTheme="minorHAnsi" w:cstheme="minorBidi"/>
          <w:sz w:val="24"/>
          <w:lang w:eastAsia="it-IT"/>
        </w:rPr>
        <w:tab/>
        <w:t xml:space="preserve">Il Sindaco </w:t>
      </w:r>
    </w:p>
    <w:p w:rsidR="00301C60" w:rsidRPr="00C71E06" w:rsidRDefault="00301C60" w:rsidP="00C71E06">
      <w:pPr>
        <w:spacing w:after="0" w:line="240" w:lineRule="auto"/>
        <w:ind w:left="708" w:firstLine="708"/>
        <w:jc w:val="both"/>
        <w:rPr>
          <w:rFonts w:asciiTheme="minorHAnsi" w:eastAsiaTheme="minorEastAsia" w:hAnsiTheme="minorHAnsi" w:cstheme="minorBidi"/>
          <w:sz w:val="24"/>
          <w:lang w:eastAsia="it-IT"/>
        </w:rPr>
      </w:pPr>
      <w:r>
        <w:rPr>
          <w:rFonts w:asciiTheme="minorHAnsi" w:eastAsiaTheme="minorEastAsia" w:hAnsiTheme="minorHAnsi" w:cstheme="minorBidi"/>
          <w:sz w:val="24"/>
          <w:lang w:eastAsia="it-IT"/>
        </w:rPr>
        <w:tab/>
      </w:r>
      <w:r>
        <w:rPr>
          <w:rFonts w:asciiTheme="minorHAnsi" w:eastAsiaTheme="minorEastAsia" w:hAnsiTheme="minorHAnsi" w:cstheme="minorBidi"/>
          <w:sz w:val="24"/>
          <w:lang w:eastAsia="it-IT"/>
        </w:rPr>
        <w:tab/>
      </w:r>
      <w:r>
        <w:rPr>
          <w:rFonts w:asciiTheme="minorHAnsi" w:eastAsiaTheme="minorEastAsia" w:hAnsiTheme="minorHAnsi" w:cstheme="minorBidi"/>
          <w:sz w:val="24"/>
          <w:lang w:eastAsia="it-IT"/>
        </w:rPr>
        <w:tab/>
      </w:r>
      <w:r>
        <w:rPr>
          <w:rFonts w:asciiTheme="minorHAnsi" w:eastAsiaTheme="minorEastAsia" w:hAnsiTheme="minorHAnsi" w:cstheme="minorBidi"/>
          <w:sz w:val="24"/>
          <w:lang w:eastAsia="it-IT"/>
        </w:rPr>
        <w:tab/>
      </w:r>
      <w:r>
        <w:rPr>
          <w:rFonts w:asciiTheme="minorHAnsi" w:eastAsiaTheme="minorEastAsia" w:hAnsiTheme="minorHAnsi" w:cstheme="minorBidi"/>
          <w:sz w:val="24"/>
          <w:lang w:eastAsia="it-IT"/>
        </w:rPr>
        <w:tab/>
      </w:r>
      <w:r>
        <w:rPr>
          <w:rFonts w:asciiTheme="minorHAnsi" w:eastAsiaTheme="minorEastAsia" w:hAnsiTheme="minorHAnsi" w:cstheme="minorBidi"/>
          <w:sz w:val="24"/>
          <w:lang w:eastAsia="it-IT"/>
        </w:rPr>
        <w:tab/>
        <w:t xml:space="preserve"> </w:t>
      </w:r>
      <w:r w:rsidR="00D23676">
        <w:rPr>
          <w:rFonts w:asciiTheme="minorHAnsi" w:eastAsiaTheme="minorEastAsia" w:hAnsiTheme="minorHAnsi" w:cstheme="minorBidi"/>
          <w:sz w:val="24"/>
          <w:lang w:eastAsia="it-IT"/>
        </w:rPr>
        <w:t xml:space="preserve">      </w:t>
      </w:r>
    </w:p>
    <w:sectPr w:rsidR="00301C60" w:rsidRPr="00C71E06" w:rsidSect="004B056B">
      <w:headerReference w:type="default" r:id="rId17"/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E06" w:rsidRDefault="00C71E06" w:rsidP="00C25E82">
      <w:pPr>
        <w:spacing w:after="0" w:line="240" w:lineRule="auto"/>
      </w:pPr>
      <w:r>
        <w:separator/>
      </w:r>
    </w:p>
  </w:endnote>
  <w:endnote w:type="continuationSeparator" w:id="0">
    <w:p w:rsidR="00C71E06" w:rsidRDefault="00C71E06" w:rsidP="00C2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E06" w:rsidRDefault="00C71E06" w:rsidP="00C25E82">
      <w:pPr>
        <w:spacing w:after="0" w:line="240" w:lineRule="auto"/>
      </w:pPr>
      <w:r>
        <w:separator/>
      </w:r>
    </w:p>
  </w:footnote>
  <w:footnote w:type="continuationSeparator" w:id="0">
    <w:p w:rsidR="00C71E06" w:rsidRDefault="00C71E06" w:rsidP="00C2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E06" w:rsidRDefault="00C71E06">
    <w:pPr>
      <w:pStyle w:val="Intestazione"/>
    </w:pPr>
  </w:p>
  <w:p w:rsidR="00C71E06" w:rsidRDefault="00C71E0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ogo Comune" style="width:19.7pt;height:27.15pt;visibility:visible" o:bullet="t">
        <v:imagedata r:id="rId1" o:title="Logo Comune"/>
      </v:shape>
    </w:pict>
  </w:numPicBullet>
  <w:abstractNum w:abstractNumId="0">
    <w:nsid w:val="12CB2B50"/>
    <w:multiLevelType w:val="hybridMultilevel"/>
    <w:tmpl w:val="9330422E"/>
    <w:lvl w:ilvl="0" w:tplc="4AD8C0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6343D4"/>
    <w:multiLevelType w:val="hybridMultilevel"/>
    <w:tmpl w:val="BDE21002"/>
    <w:lvl w:ilvl="0" w:tplc="B37C467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045BF3"/>
    <w:multiLevelType w:val="hybridMultilevel"/>
    <w:tmpl w:val="9B0A66B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6C6589"/>
    <w:multiLevelType w:val="hybridMultilevel"/>
    <w:tmpl w:val="8B34C2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F5033"/>
    <w:multiLevelType w:val="hybridMultilevel"/>
    <w:tmpl w:val="F27C2E34"/>
    <w:lvl w:ilvl="0" w:tplc="F32801C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353FB8"/>
    <w:multiLevelType w:val="hybridMultilevel"/>
    <w:tmpl w:val="57466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C206A"/>
    <w:multiLevelType w:val="hybridMultilevel"/>
    <w:tmpl w:val="62CCA054"/>
    <w:lvl w:ilvl="0" w:tplc="F32801C0">
      <w:start w:val="1"/>
      <w:numFmt w:val="bullet"/>
      <w:lvlText w:val="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>
    <w:nsid w:val="710236D5"/>
    <w:multiLevelType w:val="hybridMultilevel"/>
    <w:tmpl w:val="43267F0E"/>
    <w:lvl w:ilvl="0" w:tplc="2A78C0BA">
      <w:start w:val="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85554"/>
    <w:rsid w:val="000122E4"/>
    <w:rsid w:val="000747A7"/>
    <w:rsid w:val="000C391E"/>
    <w:rsid w:val="000D7A51"/>
    <w:rsid w:val="000F26D6"/>
    <w:rsid w:val="000F2E76"/>
    <w:rsid w:val="00104D5E"/>
    <w:rsid w:val="00112D13"/>
    <w:rsid w:val="0017258A"/>
    <w:rsid w:val="001F0E67"/>
    <w:rsid w:val="001F284A"/>
    <w:rsid w:val="00203F55"/>
    <w:rsid w:val="00226192"/>
    <w:rsid w:val="002458C0"/>
    <w:rsid w:val="00260F6F"/>
    <w:rsid w:val="0030031C"/>
    <w:rsid w:val="00301C60"/>
    <w:rsid w:val="00322F3C"/>
    <w:rsid w:val="00327E23"/>
    <w:rsid w:val="00361172"/>
    <w:rsid w:val="00394565"/>
    <w:rsid w:val="003C32AC"/>
    <w:rsid w:val="003C5CEC"/>
    <w:rsid w:val="003F3439"/>
    <w:rsid w:val="00421D8A"/>
    <w:rsid w:val="0047125D"/>
    <w:rsid w:val="00473C7A"/>
    <w:rsid w:val="004B056B"/>
    <w:rsid w:val="004B6120"/>
    <w:rsid w:val="004D59FC"/>
    <w:rsid w:val="004E7F4B"/>
    <w:rsid w:val="005368F9"/>
    <w:rsid w:val="005413CE"/>
    <w:rsid w:val="00542BDD"/>
    <w:rsid w:val="005C454B"/>
    <w:rsid w:val="006247A0"/>
    <w:rsid w:val="00657688"/>
    <w:rsid w:val="0067515D"/>
    <w:rsid w:val="006A17D5"/>
    <w:rsid w:val="006E6686"/>
    <w:rsid w:val="006F2805"/>
    <w:rsid w:val="007066C8"/>
    <w:rsid w:val="00711143"/>
    <w:rsid w:val="007261C8"/>
    <w:rsid w:val="007D21A0"/>
    <w:rsid w:val="007D641F"/>
    <w:rsid w:val="0083218E"/>
    <w:rsid w:val="00837831"/>
    <w:rsid w:val="008809E7"/>
    <w:rsid w:val="008D717B"/>
    <w:rsid w:val="0091602D"/>
    <w:rsid w:val="009420C2"/>
    <w:rsid w:val="00974548"/>
    <w:rsid w:val="009C67DB"/>
    <w:rsid w:val="00A25806"/>
    <w:rsid w:val="00A55ECB"/>
    <w:rsid w:val="00A7314D"/>
    <w:rsid w:val="00AB1AA2"/>
    <w:rsid w:val="00B028EF"/>
    <w:rsid w:val="00B13ED7"/>
    <w:rsid w:val="00B47C37"/>
    <w:rsid w:val="00B53E44"/>
    <w:rsid w:val="00B65DDA"/>
    <w:rsid w:val="00BD2113"/>
    <w:rsid w:val="00BD7611"/>
    <w:rsid w:val="00C25E82"/>
    <w:rsid w:val="00C33B4B"/>
    <w:rsid w:val="00C71E06"/>
    <w:rsid w:val="00C92367"/>
    <w:rsid w:val="00CD5EDD"/>
    <w:rsid w:val="00D22506"/>
    <w:rsid w:val="00D23676"/>
    <w:rsid w:val="00D27144"/>
    <w:rsid w:val="00D85554"/>
    <w:rsid w:val="00E62580"/>
    <w:rsid w:val="00EA3342"/>
    <w:rsid w:val="00EB66C4"/>
    <w:rsid w:val="00F134DC"/>
    <w:rsid w:val="00F22B57"/>
    <w:rsid w:val="00F673D6"/>
    <w:rsid w:val="00FE3CA1"/>
    <w:rsid w:val="00FF043E"/>
    <w:rsid w:val="00FF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5554"/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25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28E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85554"/>
    <w:p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5554"/>
    <w:rPr>
      <w:color w:val="0000FF" w:themeColor="hyperlink"/>
      <w:u w:val="single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D85554"/>
    <w:rPr>
      <w:rFonts w:ascii="Arial" w:eastAsia="Times New Roman" w:hAnsi="Arial" w:cs="Arial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D85554"/>
    <w:pPr>
      <w:tabs>
        <w:tab w:val="center" w:pos="4840"/>
      </w:tabs>
      <w:spacing w:after="0" w:line="240" w:lineRule="auto"/>
      <w:ind w:right="-1"/>
      <w:jc w:val="both"/>
    </w:pPr>
    <w:rPr>
      <w:rFonts w:ascii="Arial" w:eastAsia="Times New Roman" w:hAnsi="Arial"/>
      <w:noProof/>
      <w:sz w:val="1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85554"/>
    <w:rPr>
      <w:rFonts w:ascii="Arial" w:eastAsia="Times New Roman" w:hAnsi="Arial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62580"/>
    <w:pPr>
      <w:ind w:left="720"/>
      <w:contextualSpacing/>
    </w:pPr>
    <w:rPr>
      <w:rFonts w:asciiTheme="minorHAnsi" w:eastAsiaTheme="minorEastAsia" w:hAnsiTheme="minorHAnsi" w:cstheme="minorBidi"/>
      <w:lang w:eastAsia="it-IT"/>
    </w:rPr>
  </w:style>
  <w:style w:type="paragraph" w:styleId="Intestazione">
    <w:name w:val="header"/>
    <w:basedOn w:val="Normale"/>
    <w:link w:val="IntestazioneCarattere"/>
    <w:unhideWhenUsed/>
    <w:rsid w:val="00C25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E8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25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25E82"/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5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styleId="Grigliatabella">
    <w:name w:val="Table Grid"/>
    <w:basedOn w:val="Tabellanormale"/>
    <w:uiPriority w:val="59"/>
    <w:rsid w:val="00EA3342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42"/>
    <w:rPr>
      <w:rFonts w:ascii="Tahoma" w:eastAsia="Calibri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28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Informale2">
    <w:name w:val="Informale2"/>
    <w:basedOn w:val="Normale"/>
    <w:rsid w:val="00B028EF"/>
    <w:pPr>
      <w:widowControl w:val="0"/>
      <w:spacing w:before="360" w:after="60" w:line="240" w:lineRule="auto"/>
    </w:pPr>
    <w:rPr>
      <w:rFonts w:ascii="Arial" w:eastAsia="Times New Roman" w:hAnsi="Arial"/>
      <w:b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B028EF"/>
    <w:rPr>
      <w:rFonts w:ascii="Arial" w:hAnsi="Arial"/>
      <w:sz w:val="20"/>
    </w:rPr>
  </w:style>
  <w:style w:type="paragraph" w:styleId="Testonotaapidipagina">
    <w:name w:val="footnote text"/>
    <w:basedOn w:val="Normale"/>
    <w:link w:val="TestonotaapidipaginaCarattere"/>
    <w:semiHidden/>
    <w:rsid w:val="00B028EF"/>
    <w:pPr>
      <w:widowControl w:val="0"/>
      <w:spacing w:after="0" w:line="240" w:lineRule="auto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028EF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d01.leggiditalia.it/cgi-bin/FulShow?TIPO=5&amp;NOTXT=1&amp;KEY=01LX0000141211ART2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it/4/46/Casavatore-Stemma.png" TargetMode="External"/><Relationship Id="rId12" Type="http://schemas.openxmlformats.org/officeDocument/2006/relationships/hyperlink" Target="http://bd01.leggiditalia.it/cgi-bin/FulShow?TIPO=5&amp;NOTXT=1&amp;KEY=01LX0000607150ART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ubblialifana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d01.leggiditalia.it/cgi-bin/FulShow?TIPO=5&amp;NOTXT=1&amp;KEY=01LX0000115024ART94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ubblialifana@postecert.it" TargetMode="External"/><Relationship Id="rId10" Type="http://schemas.openxmlformats.org/officeDocument/2006/relationships/hyperlink" Target="http://www.pubblialifana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ubblialifana@pubblialifana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</cp:lastModifiedBy>
  <cp:revision>6</cp:revision>
  <cp:lastPrinted>2014-05-29T15:53:00Z</cp:lastPrinted>
  <dcterms:created xsi:type="dcterms:W3CDTF">2014-05-22T07:50:00Z</dcterms:created>
  <dcterms:modified xsi:type="dcterms:W3CDTF">2014-05-30T12:55:00Z</dcterms:modified>
</cp:coreProperties>
</file>